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EE33" w14:textId="77777777" w:rsidR="00AA59B5" w:rsidRPr="00AA59B5" w:rsidRDefault="0067422C" w:rsidP="00AA59B5">
      <w:pPr>
        <w:jc w:val="center"/>
        <w:rPr>
          <w:rFonts w:ascii="Arial" w:hAnsi="Arial" w:cs="Arial"/>
          <w:b/>
          <w:smallCaps/>
          <w:sz w:val="40"/>
          <w:szCs w:val="40"/>
        </w:rPr>
      </w:pPr>
      <w:r w:rsidRPr="00AA59B5">
        <w:rPr>
          <w:rFonts w:ascii="Arial" w:hAnsi="Arial" w:cs="Arial"/>
          <w:b/>
          <w:smallCaps/>
          <w:sz w:val="40"/>
          <w:szCs w:val="40"/>
        </w:rPr>
        <w:t>Victor Valley Transit Authority</w:t>
      </w:r>
    </w:p>
    <w:p w14:paraId="1A51C696" w14:textId="77777777" w:rsidR="006D7311" w:rsidRPr="008C3802" w:rsidRDefault="006D7311" w:rsidP="008C3802">
      <w:pPr>
        <w:jc w:val="center"/>
        <w:rPr>
          <w:rFonts w:asciiTheme="minorHAnsi" w:hAnsiTheme="minorHAnsi" w:cstheme="minorHAnsi"/>
        </w:rPr>
      </w:pPr>
    </w:p>
    <w:p w14:paraId="4E3C3AD6" w14:textId="77777777" w:rsidR="006D7311" w:rsidRPr="00AA59B5" w:rsidRDefault="00AE0E43" w:rsidP="008C3802">
      <w:pPr>
        <w:jc w:val="center"/>
        <w:rPr>
          <w:rFonts w:asciiTheme="minorHAnsi" w:hAnsiTheme="minorHAnsi" w:cstheme="minorHAnsi"/>
          <w:sz w:val="32"/>
          <w:szCs w:val="32"/>
        </w:rPr>
      </w:pPr>
      <w:r w:rsidRPr="00AA59B5">
        <w:rPr>
          <w:rFonts w:asciiTheme="minorHAnsi" w:hAnsiTheme="minorHAnsi" w:cstheme="minorHAnsi"/>
          <w:sz w:val="32"/>
          <w:szCs w:val="32"/>
        </w:rPr>
        <w:t xml:space="preserve">Federal Transit </w:t>
      </w:r>
      <w:r w:rsidR="00AA59B5" w:rsidRPr="00AA59B5">
        <w:rPr>
          <w:rFonts w:asciiTheme="minorHAnsi" w:hAnsiTheme="minorHAnsi" w:cstheme="minorHAnsi"/>
          <w:sz w:val="32"/>
          <w:szCs w:val="32"/>
        </w:rPr>
        <w:t xml:space="preserve">Administration </w:t>
      </w:r>
      <w:r w:rsidR="00D96670" w:rsidRPr="00AA59B5">
        <w:rPr>
          <w:rFonts w:asciiTheme="minorHAnsi" w:hAnsiTheme="minorHAnsi" w:cstheme="minorHAnsi"/>
          <w:sz w:val="32"/>
          <w:szCs w:val="32"/>
        </w:rPr>
        <w:br/>
      </w:r>
      <w:r w:rsidRPr="00AA59B5">
        <w:rPr>
          <w:rFonts w:asciiTheme="minorHAnsi" w:hAnsiTheme="minorHAnsi" w:cstheme="minorHAnsi"/>
          <w:sz w:val="32"/>
          <w:szCs w:val="32"/>
        </w:rPr>
        <w:t xml:space="preserve">(FTA) Overall </w:t>
      </w:r>
      <w:r w:rsidR="006D7311" w:rsidRPr="00AA59B5">
        <w:rPr>
          <w:rFonts w:asciiTheme="minorHAnsi" w:hAnsiTheme="minorHAnsi" w:cstheme="minorHAnsi"/>
          <w:sz w:val="32"/>
          <w:szCs w:val="32"/>
        </w:rPr>
        <w:t xml:space="preserve">DBE </w:t>
      </w:r>
      <w:r w:rsidR="00D96670" w:rsidRPr="00AA59B5">
        <w:rPr>
          <w:rFonts w:asciiTheme="minorHAnsi" w:hAnsiTheme="minorHAnsi" w:cstheme="minorHAnsi"/>
          <w:sz w:val="32"/>
          <w:szCs w:val="32"/>
        </w:rPr>
        <w:br/>
      </w:r>
      <w:r w:rsidR="006D7311" w:rsidRPr="00AA59B5">
        <w:rPr>
          <w:rFonts w:asciiTheme="minorHAnsi" w:hAnsiTheme="minorHAnsi" w:cstheme="minorHAnsi"/>
          <w:sz w:val="32"/>
          <w:szCs w:val="32"/>
        </w:rPr>
        <w:t>Goal</w:t>
      </w:r>
      <w:r w:rsidRPr="00AA59B5">
        <w:rPr>
          <w:rFonts w:asciiTheme="minorHAnsi" w:hAnsiTheme="minorHAnsi" w:cstheme="minorHAnsi"/>
          <w:sz w:val="32"/>
          <w:szCs w:val="32"/>
        </w:rPr>
        <w:t>-Setting</w:t>
      </w:r>
      <w:r w:rsidR="006D7311" w:rsidRPr="00AA59B5">
        <w:rPr>
          <w:rFonts w:asciiTheme="minorHAnsi" w:hAnsiTheme="minorHAnsi" w:cstheme="minorHAnsi"/>
          <w:sz w:val="32"/>
          <w:szCs w:val="32"/>
        </w:rPr>
        <w:t xml:space="preserve"> Methodology</w:t>
      </w:r>
    </w:p>
    <w:p w14:paraId="77AA157B" w14:textId="77777777" w:rsidR="006D7311" w:rsidRDefault="006D7311" w:rsidP="008C3802">
      <w:pPr>
        <w:spacing w:after="120"/>
        <w:jc w:val="center"/>
        <w:rPr>
          <w:rFonts w:asciiTheme="minorHAnsi" w:hAnsiTheme="minorHAnsi" w:cstheme="minorHAnsi"/>
        </w:rPr>
      </w:pPr>
    </w:p>
    <w:p w14:paraId="5307058C" w14:textId="77777777" w:rsidR="00AA59B5" w:rsidRDefault="00AA59B5" w:rsidP="008C3802">
      <w:pPr>
        <w:spacing w:after="120"/>
        <w:jc w:val="center"/>
        <w:rPr>
          <w:rFonts w:asciiTheme="minorHAnsi" w:hAnsiTheme="minorHAnsi" w:cstheme="minorHAnsi"/>
        </w:rPr>
      </w:pPr>
    </w:p>
    <w:p w14:paraId="4F6C9B0F" w14:textId="77777777" w:rsidR="00AA59B5" w:rsidRDefault="00AA59B5" w:rsidP="008C3802">
      <w:pPr>
        <w:spacing w:after="120"/>
        <w:jc w:val="center"/>
        <w:rPr>
          <w:rFonts w:asciiTheme="minorHAnsi" w:hAnsiTheme="minorHAnsi" w:cstheme="minorHAnsi"/>
        </w:rPr>
      </w:pPr>
    </w:p>
    <w:p w14:paraId="14856811" w14:textId="77777777" w:rsidR="00AA59B5" w:rsidRDefault="00AA59B5" w:rsidP="008C3802">
      <w:pPr>
        <w:spacing w:after="120"/>
        <w:jc w:val="center"/>
        <w:rPr>
          <w:rFonts w:asciiTheme="minorHAnsi" w:hAnsiTheme="minorHAnsi" w:cstheme="minorHAnsi"/>
        </w:rPr>
      </w:pPr>
    </w:p>
    <w:p w14:paraId="5CF610F1" w14:textId="77777777" w:rsidR="00AA59B5" w:rsidRPr="008C3802" w:rsidRDefault="00AA59B5" w:rsidP="008C3802">
      <w:pPr>
        <w:spacing w:after="120"/>
        <w:jc w:val="center"/>
        <w:rPr>
          <w:rFonts w:asciiTheme="minorHAnsi" w:hAnsiTheme="minorHAnsi" w:cstheme="minorHAnsi"/>
        </w:rPr>
      </w:pPr>
    </w:p>
    <w:p w14:paraId="66F4D34D" w14:textId="77777777" w:rsidR="00D012BA" w:rsidRPr="00AA59B5" w:rsidRDefault="00D96670" w:rsidP="008C3802">
      <w:pPr>
        <w:jc w:val="center"/>
        <w:rPr>
          <w:rFonts w:ascii="Arial" w:hAnsi="Arial" w:cs="Arial"/>
          <w:sz w:val="28"/>
          <w:szCs w:val="28"/>
        </w:rPr>
      </w:pPr>
      <w:r w:rsidRPr="00AA59B5">
        <w:rPr>
          <w:rFonts w:ascii="Arial" w:hAnsi="Arial" w:cs="Arial"/>
          <w:sz w:val="28"/>
          <w:szCs w:val="28"/>
        </w:rPr>
        <w:t>for</w:t>
      </w:r>
    </w:p>
    <w:p w14:paraId="595B2470" w14:textId="77777777" w:rsidR="00640F76" w:rsidRPr="00AA59B5" w:rsidRDefault="00640F76" w:rsidP="008C3802">
      <w:pPr>
        <w:spacing w:after="120"/>
        <w:jc w:val="center"/>
        <w:rPr>
          <w:rFonts w:ascii="Arial" w:hAnsi="Arial" w:cs="Arial"/>
          <w:sz w:val="28"/>
          <w:szCs w:val="28"/>
        </w:rPr>
      </w:pPr>
    </w:p>
    <w:p w14:paraId="1891B302" w14:textId="57813267" w:rsidR="00D012BA" w:rsidRPr="00AA59B5" w:rsidRDefault="00D012BA" w:rsidP="008C3802">
      <w:pPr>
        <w:jc w:val="center"/>
        <w:rPr>
          <w:rFonts w:ascii="Arial" w:hAnsi="Arial" w:cs="Arial"/>
          <w:sz w:val="28"/>
          <w:szCs w:val="28"/>
        </w:rPr>
      </w:pPr>
      <w:r w:rsidRPr="00AA59B5">
        <w:rPr>
          <w:rFonts w:ascii="Arial" w:hAnsi="Arial" w:cs="Arial"/>
          <w:sz w:val="28"/>
          <w:szCs w:val="28"/>
        </w:rPr>
        <w:t xml:space="preserve">FFY </w:t>
      </w:r>
      <w:r w:rsidR="00D370C0">
        <w:rPr>
          <w:rFonts w:ascii="Arial" w:hAnsi="Arial" w:cs="Arial"/>
          <w:sz w:val="28"/>
          <w:szCs w:val="28"/>
        </w:rPr>
        <w:t>20</w:t>
      </w:r>
      <w:r w:rsidR="00C7588B">
        <w:rPr>
          <w:rFonts w:ascii="Arial" w:hAnsi="Arial" w:cs="Arial"/>
          <w:sz w:val="28"/>
          <w:szCs w:val="28"/>
        </w:rPr>
        <w:t>22</w:t>
      </w:r>
      <w:r w:rsidR="00066B5F">
        <w:rPr>
          <w:rFonts w:ascii="Arial" w:hAnsi="Arial" w:cs="Arial"/>
          <w:sz w:val="28"/>
          <w:szCs w:val="28"/>
        </w:rPr>
        <w:t xml:space="preserve"> </w:t>
      </w:r>
      <w:r w:rsidR="00D370C0">
        <w:rPr>
          <w:rFonts w:ascii="Arial" w:hAnsi="Arial" w:cs="Arial"/>
          <w:sz w:val="28"/>
          <w:szCs w:val="28"/>
        </w:rPr>
        <w:t xml:space="preserve">- FFY </w:t>
      </w:r>
      <w:r w:rsidR="00C7588B">
        <w:rPr>
          <w:rFonts w:ascii="Arial" w:hAnsi="Arial" w:cs="Arial"/>
          <w:sz w:val="28"/>
          <w:szCs w:val="28"/>
        </w:rPr>
        <w:t>2024</w:t>
      </w:r>
    </w:p>
    <w:p w14:paraId="288D10CB" w14:textId="77777777" w:rsidR="00D96670" w:rsidRPr="00AA59B5" w:rsidRDefault="00D96670" w:rsidP="008C3802">
      <w:pPr>
        <w:jc w:val="center"/>
        <w:rPr>
          <w:rFonts w:ascii="Arial" w:hAnsi="Arial" w:cs="Arial"/>
          <w:sz w:val="28"/>
          <w:szCs w:val="28"/>
        </w:rPr>
      </w:pPr>
      <w:r w:rsidRPr="00AA59B5">
        <w:rPr>
          <w:rFonts w:ascii="Arial" w:hAnsi="Arial" w:cs="Arial"/>
          <w:sz w:val="28"/>
          <w:szCs w:val="28"/>
        </w:rPr>
        <w:t>Goal Period</w:t>
      </w:r>
    </w:p>
    <w:p w14:paraId="46CA1702" w14:textId="77777777" w:rsidR="002A1905" w:rsidRDefault="002A1905" w:rsidP="008C3802">
      <w:pPr>
        <w:jc w:val="center"/>
        <w:rPr>
          <w:rFonts w:asciiTheme="minorHAnsi" w:hAnsiTheme="minorHAnsi" w:cstheme="minorHAnsi"/>
        </w:rPr>
      </w:pPr>
    </w:p>
    <w:p w14:paraId="51E18AB5" w14:textId="77777777" w:rsidR="00AA59B5" w:rsidRDefault="00AA59B5" w:rsidP="008C3802">
      <w:pPr>
        <w:jc w:val="center"/>
        <w:rPr>
          <w:rFonts w:asciiTheme="minorHAnsi" w:hAnsiTheme="minorHAnsi" w:cstheme="minorHAnsi"/>
        </w:rPr>
      </w:pPr>
    </w:p>
    <w:p w14:paraId="54931992" w14:textId="77777777" w:rsidR="00AA59B5" w:rsidRDefault="00AA59B5" w:rsidP="008C3802">
      <w:pPr>
        <w:jc w:val="center"/>
        <w:rPr>
          <w:rFonts w:asciiTheme="minorHAnsi" w:hAnsiTheme="minorHAnsi" w:cstheme="minorHAnsi"/>
        </w:rPr>
      </w:pPr>
    </w:p>
    <w:p w14:paraId="2A48CB62" w14:textId="77777777" w:rsidR="00AA59B5" w:rsidRDefault="00AA59B5" w:rsidP="008C3802">
      <w:pPr>
        <w:jc w:val="center"/>
        <w:rPr>
          <w:rFonts w:asciiTheme="minorHAnsi" w:hAnsiTheme="minorHAnsi" w:cstheme="minorHAnsi"/>
        </w:rPr>
      </w:pPr>
    </w:p>
    <w:p w14:paraId="45AF442B" w14:textId="77777777" w:rsidR="00AA59B5" w:rsidRDefault="00AA59B5" w:rsidP="008C3802">
      <w:pPr>
        <w:jc w:val="center"/>
        <w:rPr>
          <w:rFonts w:asciiTheme="minorHAnsi" w:hAnsiTheme="minorHAnsi" w:cstheme="minorHAnsi"/>
        </w:rPr>
      </w:pPr>
    </w:p>
    <w:p w14:paraId="6FD71017" w14:textId="77777777" w:rsidR="00AA59B5" w:rsidRPr="008C3802" w:rsidRDefault="00AA59B5" w:rsidP="008C3802">
      <w:pPr>
        <w:jc w:val="center"/>
        <w:rPr>
          <w:rFonts w:asciiTheme="minorHAnsi" w:hAnsiTheme="minorHAnsi" w:cstheme="minorHAnsi"/>
        </w:rPr>
      </w:pPr>
    </w:p>
    <w:p w14:paraId="289146D5" w14:textId="77777777" w:rsidR="00D012BA" w:rsidRPr="008C3802" w:rsidRDefault="00D012BA" w:rsidP="008C3802">
      <w:pPr>
        <w:jc w:val="center"/>
        <w:rPr>
          <w:rFonts w:asciiTheme="minorHAnsi" w:hAnsiTheme="minorHAnsi" w:cstheme="minorHAnsi"/>
        </w:rPr>
      </w:pPr>
      <w:r w:rsidRPr="008C3802">
        <w:rPr>
          <w:rFonts w:asciiTheme="minorHAnsi" w:hAnsiTheme="minorHAnsi" w:cstheme="minorHAnsi"/>
        </w:rPr>
        <w:t>Submitted in fulfillment of:</w:t>
      </w:r>
    </w:p>
    <w:p w14:paraId="6857123F" w14:textId="77777777" w:rsidR="00D012BA" w:rsidRPr="008C3802" w:rsidRDefault="006D7311" w:rsidP="008C3802">
      <w:pPr>
        <w:jc w:val="center"/>
        <w:rPr>
          <w:rFonts w:asciiTheme="minorHAnsi" w:hAnsiTheme="minorHAnsi" w:cstheme="minorHAnsi"/>
        </w:rPr>
      </w:pPr>
      <w:r w:rsidRPr="008C3802">
        <w:rPr>
          <w:rFonts w:asciiTheme="minorHAnsi" w:hAnsiTheme="minorHAnsi" w:cstheme="minorHAnsi"/>
        </w:rPr>
        <w:t xml:space="preserve">Title </w:t>
      </w:r>
      <w:r w:rsidR="00D012BA" w:rsidRPr="008C3802">
        <w:rPr>
          <w:rFonts w:asciiTheme="minorHAnsi" w:hAnsiTheme="minorHAnsi" w:cstheme="minorHAnsi"/>
        </w:rPr>
        <w:t>49 Code of Federal Regulations Part 26</w:t>
      </w:r>
    </w:p>
    <w:p w14:paraId="6F63F5EB" w14:textId="77777777" w:rsidR="00D012BA" w:rsidRPr="008C3802" w:rsidRDefault="00D012BA">
      <w:pPr>
        <w:spacing w:after="0"/>
        <w:jc w:val="center"/>
        <w:rPr>
          <w:rFonts w:asciiTheme="minorHAnsi" w:hAnsiTheme="minorHAnsi" w:cstheme="minorHAnsi"/>
        </w:rPr>
      </w:pPr>
    </w:p>
    <w:p w14:paraId="68DE1BF3" w14:textId="77777777" w:rsidR="00D40390" w:rsidRDefault="00D40390">
      <w:pPr>
        <w:spacing w:after="0"/>
        <w:jc w:val="center"/>
      </w:pPr>
    </w:p>
    <w:p w14:paraId="2BE3228E" w14:textId="77777777" w:rsidR="007D2CBD" w:rsidRDefault="007D2CBD">
      <w:pPr>
        <w:spacing w:after="0"/>
        <w:jc w:val="center"/>
      </w:pPr>
    </w:p>
    <w:p w14:paraId="43B15CEE" w14:textId="77777777" w:rsidR="00AA59B5" w:rsidRDefault="00AA59B5">
      <w:pPr>
        <w:spacing w:after="0"/>
        <w:jc w:val="center"/>
      </w:pPr>
    </w:p>
    <w:p w14:paraId="0646EAE9" w14:textId="77777777" w:rsidR="00AA59B5" w:rsidRDefault="00AA59B5">
      <w:pPr>
        <w:spacing w:after="0"/>
        <w:jc w:val="center"/>
      </w:pPr>
    </w:p>
    <w:p w14:paraId="69AE94F4" w14:textId="77777777" w:rsidR="00AA59B5" w:rsidRDefault="00AA59B5">
      <w:pPr>
        <w:spacing w:after="0"/>
        <w:jc w:val="center"/>
      </w:pPr>
    </w:p>
    <w:p w14:paraId="69954A33" w14:textId="77777777" w:rsidR="008C3802" w:rsidRPr="00AA59B5" w:rsidRDefault="008C3802">
      <w:pPr>
        <w:spacing w:after="0"/>
        <w:jc w:val="center"/>
        <w:rPr>
          <w:rFonts w:ascii="Arial" w:hAnsi="Arial" w:cs="Arial"/>
          <w:b/>
          <w:szCs w:val="22"/>
        </w:rPr>
      </w:pPr>
      <w:r w:rsidRPr="00AA59B5">
        <w:rPr>
          <w:rFonts w:ascii="Arial" w:hAnsi="Arial" w:cs="Arial"/>
          <w:b/>
          <w:szCs w:val="22"/>
        </w:rPr>
        <w:lastRenderedPageBreak/>
        <w:t>TABLE OF CONTENTS</w:t>
      </w:r>
    </w:p>
    <w:p w14:paraId="1F4C8682" w14:textId="77777777" w:rsidR="008C3802" w:rsidRPr="00AA59B5" w:rsidRDefault="008C3802">
      <w:pPr>
        <w:spacing w:after="0"/>
        <w:jc w:val="center"/>
        <w:rPr>
          <w:rFonts w:ascii="Arial" w:hAnsi="Arial" w:cs="Arial"/>
          <w:szCs w:val="22"/>
        </w:rPr>
      </w:pPr>
    </w:p>
    <w:p w14:paraId="55D0E5FE" w14:textId="77777777" w:rsidR="008C3802" w:rsidRPr="00AA59B5" w:rsidRDefault="008C3802">
      <w:pPr>
        <w:spacing w:after="0"/>
        <w:jc w:val="center"/>
        <w:rPr>
          <w:rFonts w:ascii="Arial" w:hAnsi="Arial" w:cs="Arial"/>
          <w:szCs w:val="22"/>
        </w:rPr>
      </w:pPr>
    </w:p>
    <w:p w14:paraId="4A142707" w14:textId="77777777" w:rsidR="00A40838" w:rsidRPr="00AA59B5" w:rsidRDefault="00A40838">
      <w:pPr>
        <w:spacing w:after="0"/>
        <w:jc w:val="center"/>
        <w:rPr>
          <w:rFonts w:ascii="Arial" w:hAnsi="Arial" w:cs="Arial"/>
          <w:szCs w:val="22"/>
        </w:rPr>
      </w:pPr>
    </w:p>
    <w:p w14:paraId="022A04A6" w14:textId="2B5998D3" w:rsidR="00E264FE" w:rsidRPr="00AA59B5" w:rsidRDefault="008C3802" w:rsidP="00A40838">
      <w:pPr>
        <w:pStyle w:val="TOC1"/>
        <w:spacing w:after="240"/>
        <w:rPr>
          <w:rFonts w:ascii="Arial" w:eastAsiaTheme="minorEastAsia" w:hAnsi="Arial" w:cs="Arial"/>
          <w:noProof/>
          <w:color w:val="auto"/>
          <w:szCs w:val="22"/>
        </w:rPr>
      </w:pPr>
      <w:r w:rsidRPr="00AA59B5">
        <w:rPr>
          <w:rFonts w:ascii="Arial" w:hAnsi="Arial" w:cs="Arial"/>
          <w:b/>
          <w:szCs w:val="22"/>
        </w:rPr>
        <w:fldChar w:fldCharType="begin"/>
      </w:r>
      <w:r w:rsidRPr="00AA59B5">
        <w:rPr>
          <w:rFonts w:ascii="Arial" w:hAnsi="Arial" w:cs="Arial"/>
          <w:b/>
          <w:szCs w:val="22"/>
        </w:rPr>
        <w:instrText xml:space="preserve"> TOC \o "1-3" \h \z \u </w:instrText>
      </w:r>
      <w:r w:rsidRPr="00AA59B5">
        <w:rPr>
          <w:rFonts w:ascii="Arial" w:hAnsi="Arial" w:cs="Arial"/>
          <w:b/>
          <w:szCs w:val="22"/>
        </w:rPr>
        <w:fldChar w:fldCharType="separate"/>
      </w:r>
      <w:hyperlink w:anchor="_Toc331591915" w:history="1">
        <w:r w:rsidR="00E264FE" w:rsidRPr="00AA59B5">
          <w:rPr>
            <w:rStyle w:val="Hyperlink"/>
            <w:rFonts w:ascii="Arial" w:hAnsi="Arial" w:cs="Arial"/>
            <w:noProof/>
            <w:szCs w:val="22"/>
          </w:rPr>
          <w:t xml:space="preserve">I.  </w:t>
        </w:r>
        <w:r w:rsidR="00E264FE" w:rsidRPr="00AA59B5">
          <w:rPr>
            <w:rStyle w:val="Hyperlink"/>
            <w:rFonts w:ascii="Arial" w:hAnsi="Arial" w:cs="Arial"/>
            <w:noProof/>
            <w:szCs w:val="22"/>
          </w:rPr>
          <w:tab/>
          <w:t>INTRODUCTION</w:t>
        </w:r>
        <w:r w:rsidR="00E264FE" w:rsidRPr="00AA59B5">
          <w:rPr>
            <w:rFonts w:ascii="Arial" w:hAnsi="Arial" w:cs="Arial"/>
            <w:noProof/>
            <w:webHidden/>
            <w:szCs w:val="22"/>
          </w:rPr>
          <w:tab/>
        </w:r>
        <w:r w:rsidR="00E264FE" w:rsidRPr="00AA59B5">
          <w:rPr>
            <w:rFonts w:ascii="Arial" w:hAnsi="Arial" w:cs="Arial"/>
            <w:noProof/>
            <w:webHidden/>
            <w:szCs w:val="22"/>
          </w:rPr>
          <w:fldChar w:fldCharType="begin"/>
        </w:r>
        <w:r w:rsidR="00E264FE" w:rsidRPr="00AA59B5">
          <w:rPr>
            <w:rFonts w:ascii="Arial" w:hAnsi="Arial" w:cs="Arial"/>
            <w:noProof/>
            <w:webHidden/>
            <w:szCs w:val="22"/>
          </w:rPr>
          <w:instrText xml:space="preserve"> PAGEREF _Toc331591915 \h </w:instrText>
        </w:r>
        <w:r w:rsidR="00E264FE" w:rsidRPr="00AA59B5">
          <w:rPr>
            <w:rFonts w:ascii="Arial" w:hAnsi="Arial" w:cs="Arial"/>
            <w:noProof/>
            <w:webHidden/>
            <w:szCs w:val="22"/>
          </w:rPr>
        </w:r>
        <w:r w:rsidR="00E264FE" w:rsidRPr="00AA59B5">
          <w:rPr>
            <w:rFonts w:ascii="Arial" w:hAnsi="Arial" w:cs="Arial"/>
            <w:noProof/>
            <w:webHidden/>
            <w:szCs w:val="22"/>
          </w:rPr>
          <w:fldChar w:fldCharType="separate"/>
        </w:r>
        <w:r w:rsidR="00351B3D">
          <w:rPr>
            <w:rFonts w:ascii="Arial" w:hAnsi="Arial" w:cs="Arial"/>
            <w:noProof/>
            <w:webHidden/>
            <w:szCs w:val="22"/>
          </w:rPr>
          <w:t>3</w:t>
        </w:r>
        <w:r w:rsidR="00E264FE" w:rsidRPr="00AA59B5">
          <w:rPr>
            <w:rFonts w:ascii="Arial" w:hAnsi="Arial" w:cs="Arial"/>
            <w:noProof/>
            <w:webHidden/>
            <w:szCs w:val="22"/>
          </w:rPr>
          <w:fldChar w:fldCharType="end"/>
        </w:r>
      </w:hyperlink>
    </w:p>
    <w:p w14:paraId="21010443" w14:textId="1D20BA17" w:rsidR="00E264FE" w:rsidRPr="00AA59B5" w:rsidRDefault="00372542" w:rsidP="00A40838">
      <w:pPr>
        <w:pStyle w:val="TOC1"/>
        <w:spacing w:after="240"/>
        <w:rPr>
          <w:rFonts w:ascii="Arial" w:eastAsiaTheme="minorEastAsia" w:hAnsi="Arial" w:cs="Arial"/>
          <w:noProof/>
          <w:color w:val="auto"/>
          <w:szCs w:val="22"/>
        </w:rPr>
      </w:pPr>
      <w:hyperlink w:anchor="_Toc331591916" w:history="1">
        <w:r w:rsidR="00E264FE" w:rsidRPr="00AA59B5">
          <w:rPr>
            <w:rStyle w:val="Hyperlink"/>
            <w:rFonts w:ascii="Arial" w:hAnsi="Arial" w:cs="Arial"/>
            <w:noProof/>
            <w:szCs w:val="22"/>
          </w:rPr>
          <w:t xml:space="preserve">II. </w:t>
        </w:r>
        <w:r w:rsidR="00E264FE" w:rsidRPr="00AA59B5">
          <w:rPr>
            <w:rStyle w:val="Hyperlink"/>
            <w:rFonts w:ascii="Arial" w:hAnsi="Arial" w:cs="Arial"/>
            <w:noProof/>
            <w:szCs w:val="22"/>
          </w:rPr>
          <w:tab/>
          <w:t>BACKGROUND</w:t>
        </w:r>
        <w:r w:rsidR="00E264FE" w:rsidRPr="00AA59B5">
          <w:rPr>
            <w:rFonts w:ascii="Arial" w:hAnsi="Arial" w:cs="Arial"/>
            <w:noProof/>
            <w:webHidden/>
            <w:szCs w:val="22"/>
          </w:rPr>
          <w:tab/>
        </w:r>
        <w:r w:rsidR="00E264FE" w:rsidRPr="00AA59B5">
          <w:rPr>
            <w:rFonts w:ascii="Arial" w:hAnsi="Arial" w:cs="Arial"/>
            <w:noProof/>
            <w:webHidden/>
            <w:szCs w:val="22"/>
          </w:rPr>
          <w:fldChar w:fldCharType="begin"/>
        </w:r>
        <w:r w:rsidR="00E264FE" w:rsidRPr="00AA59B5">
          <w:rPr>
            <w:rFonts w:ascii="Arial" w:hAnsi="Arial" w:cs="Arial"/>
            <w:noProof/>
            <w:webHidden/>
            <w:szCs w:val="22"/>
          </w:rPr>
          <w:instrText xml:space="preserve"> PAGEREF _Toc331591916 \h </w:instrText>
        </w:r>
        <w:r w:rsidR="00E264FE" w:rsidRPr="00AA59B5">
          <w:rPr>
            <w:rFonts w:ascii="Arial" w:hAnsi="Arial" w:cs="Arial"/>
            <w:noProof/>
            <w:webHidden/>
            <w:szCs w:val="22"/>
          </w:rPr>
        </w:r>
        <w:r w:rsidR="00E264FE" w:rsidRPr="00AA59B5">
          <w:rPr>
            <w:rFonts w:ascii="Arial" w:hAnsi="Arial" w:cs="Arial"/>
            <w:noProof/>
            <w:webHidden/>
            <w:szCs w:val="22"/>
          </w:rPr>
          <w:fldChar w:fldCharType="separate"/>
        </w:r>
        <w:r w:rsidR="00351B3D">
          <w:rPr>
            <w:rFonts w:ascii="Arial" w:hAnsi="Arial" w:cs="Arial"/>
            <w:noProof/>
            <w:webHidden/>
            <w:szCs w:val="22"/>
          </w:rPr>
          <w:t>3</w:t>
        </w:r>
        <w:r w:rsidR="00E264FE" w:rsidRPr="00AA59B5">
          <w:rPr>
            <w:rFonts w:ascii="Arial" w:hAnsi="Arial" w:cs="Arial"/>
            <w:noProof/>
            <w:webHidden/>
            <w:szCs w:val="22"/>
          </w:rPr>
          <w:fldChar w:fldCharType="end"/>
        </w:r>
      </w:hyperlink>
    </w:p>
    <w:p w14:paraId="3F0D3B69" w14:textId="258BE108" w:rsidR="00E264FE" w:rsidRPr="00AA59B5" w:rsidRDefault="00372542" w:rsidP="00A40838">
      <w:pPr>
        <w:pStyle w:val="TOC1"/>
        <w:spacing w:after="240"/>
        <w:rPr>
          <w:rFonts w:ascii="Arial" w:eastAsiaTheme="minorEastAsia" w:hAnsi="Arial" w:cs="Arial"/>
          <w:noProof/>
          <w:color w:val="auto"/>
          <w:szCs w:val="22"/>
        </w:rPr>
      </w:pPr>
      <w:hyperlink w:anchor="_Toc331591917" w:history="1">
        <w:r w:rsidR="00E264FE" w:rsidRPr="00AA59B5">
          <w:rPr>
            <w:rStyle w:val="Hyperlink"/>
            <w:rFonts w:ascii="Arial" w:hAnsi="Arial" w:cs="Arial"/>
            <w:noProof/>
            <w:szCs w:val="22"/>
          </w:rPr>
          <w:t xml:space="preserve">III.    </w:t>
        </w:r>
        <w:r w:rsidR="00E264FE" w:rsidRPr="00AA59B5">
          <w:rPr>
            <w:rStyle w:val="Hyperlink"/>
            <w:rFonts w:ascii="Arial" w:hAnsi="Arial" w:cs="Arial"/>
            <w:noProof/>
            <w:szCs w:val="22"/>
          </w:rPr>
          <w:tab/>
          <w:t>FTA-ASSISTED CONTRACTING PROGRAM FOR FFY 20</w:t>
        </w:r>
        <w:r w:rsidR="00066B5F">
          <w:rPr>
            <w:rStyle w:val="Hyperlink"/>
            <w:rFonts w:ascii="Arial" w:hAnsi="Arial" w:cs="Arial"/>
            <w:noProof/>
            <w:szCs w:val="22"/>
          </w:rPr>
          <w:t>22-2024</w:t>
        </w:r>
        <w:r w:rsidR="00E264FE" w:rsidRPr="00AA59B5">
          <w:rPr>
            <w:rFonts w:ascii="Arial" w:hAnsi="Arial" w:cs="Arial"/>
            <w:noProof/>
            <w:webHidden/>
            <w:szCs w:val="22"/>
          </w:rPr>
          <w:tab/>
        </w:r>
        <w:r w:rsidR="00E264FE" w:rsidRPr="00AA59B5">
          <w:rPr>
            <w:rFonts w:ascii="Arial" w:hAnsi="Arial" w:cs="Arial"/>
            <w:noProof/>
            <w:webHidden/>
            <w:szCs w:val="22"/>
          </w:rPr>
          <w:fldChar w:fldCharType="begin"/>
        </w:r>
        <w:r w:rsidR="00E264FE" w:rsidRPr="00AA59B5">
          <w:rPr>
            <w:rFonts w:ascii="Arial" w:hAnsi="Arial" w:cs="Arial"/>
            <w:noProof/>
            <w:webHidden/>
            <w:szCs w:val="22"/>
          </w:rPr>
          <w:instrText xml:space="preserve"> PAGEREF _Toc331591917 \h </w:instrText>
        </w:r>
        <w:r w:rsidR="00E264FE" w:rsidRPr="00AA59B5">
          <w:rPr>
            <w:rFonts w:ascii="Arial" w:hAnsi="Arial" w:cs="Arial"/>
            <w:noProof/>
            <w:webHidden/>
            <w:szCs w:val="22"/>
          </w:rPr>
        </w:r>
        <w:r w:rsidR="00E264FE" w:rsidRPr="00AA59B5">
          <w:rPr>
            <w:rFonts w:ascii="Arial" w:hAnsi="Arial" w:cs="Arial"/>
            <w:noProof/>
            <w:webHidden/>
            <w:szCs w:val="22"/>
          </w:rPr>
          <w:fldChar w:fldCharType="separate"/>
        </w:r>
        <w:r w:rsidR="00351B3D">
          <w:rPr>
            <w:rFonts w:ascii="Arial" w:hAnsi="Arial" w:cs="Arial"/>
            <w:noProof/>
            <w:webHidden/>
            <w:szCs w:val="22"/>
          </w:rPr>
          <w:t>3</w:t>
        </w:r>
        <w:r w:rsidR="00E264FE" w:rsidRPr="00AA59B5">
          <w:rPr>
            <w:rFonts w:ascii="Arial" w:hAnsi="Arial" w:cs="Arial"/>
            <w:noProof/>
            <w:webHidden/>
            <w:szCs w:val="22"/>
          </w:rPr>
          <w:fldChar w:fldCharType="end"/>
        </w:r>
      </w:hyperlink>
    </w:p>
    <w:p w14:paraId="79ACF70B" w14:textId="2338FEDB" w:rsidR="00E264FE" w:rsidRPr="00AA59B5" w:rsidRDefault="00372542" w:rsidP="00A40838">
      <w:pPr>
        <w:pStyle w:val="TOC1"/>
        <w:spacing w:after="240"/>
        <w:rPr>
          <w:rFonts w:ascii="Arial" w:eastAsiaTheme="minorEastAsia" w:hAnsi="Arial" w:cs="Arial"/>
          <w:noProof/>
          <w:color w:val="auto"/>
          <w:szCs w:val="22"/>
        </w:rPr>
      </w:pPr>
      <w:hyperlink w:anchor="_Toc331591918" w:history="1">
        <w:r w:rsidR="00E264FE" w:rsidRPr="00AA59B5">
          <w:rPr>
            <w:rStyle w:val="Hyperlink"/>
            <w:rFonts w:ascii="Arial" w:hAnsi="Arial" w:cs="Arial"/>
            <w:noProof/>
            <w:szCs w:val="22"/>
          </w:rPr>
          <w:t>IV.</w:t>
        </w:r>
        <w:r w:rsidR="00E264FE" w:rsidRPr="00AA59B5">
          <w:rPr>
            <w:rStyle w:val="Hyperlink"/>
            <w:rFonts w:ascii="Arial" w:hAnsi="Arial" w:cs="Arial"/>
            <w:noProof/>
            <w:szCs w:val="22"/>
          </w:rPr>
          <w:tab/>
          <w:t>GOAL METHODOLOGY</w:t>
        </w:r>
        <w:r w:rsidR="00E264FE" w:rsidRPr="00AA59B5">
          <w:rPr>
            <w:rFonts w:ascii="Arial" w:hAnsi="Arial" w:cs="Arial"/>
            <w:noProof/>
            <w:webHidden/>
            <w:szCs w:val="22"/>
          </w:rPr>
          <w:tab/>
        </w:r>
        <w:r w:rsidR="00E264FE" w:rsidRPr="00AA59B5">
          <w:rPr>
            <w:rFonts w:ascii="Arial" w:hAnsi="Arial" w:cs="Arial"/>
            <w:noProof/>
            <w:webHidden/>
            <w:szCs w:val="22"/>
          </w:rPr>
          <w:fldChar w:fldCharType="begin"/>
        </w:r>
        <w:r w:rsidR="00E264FE" w:rsidRPr="00AA59B5">
          <w:rPr>
            <w:rFonts w:ascii="Arial" w:hAnsi="Arial" w:cs="Arial"/>
            <w:noProof/>
            <w:webHidden/>
            <w:szCs w:val="22"/>
          </w:rPr>
          <w:instrText xml:space="preserve"> PAGEREF _Toc331591918 \h </w:instrText>
        </w:r>
        <w:r w:rsidR="00E264FE" w:rsidRPr="00AA59B5">
          <w:rPr>
            <w:rFonts w:ascii="Arial" w:hAnsi="Arial" w:cs="Arial"/>
            <w:noProof/>
            <w:webHidden/>
            <w:szCs w:val="22"/>
          </w:rPr>
        </w:r>
        <w:r w:rsidR="00E264FE" w:rsidRPr="00AA59B5">
          <w:rPr>
            <w:rFonts w:ascii="Arial" w:hAnsi="Arial" w:cs="Arial"/>
            <w:noProof/>
            <w:webHidden/>
            <w:szCs w:val="22"/>
          </w:rPr>
          <w:fldChar w:fldCharType="separate"/>
        </w:r>
        <w:r w:rsidR="00351B3D">
          <w:rPr>
            <w:rFonts w:ascii="Arial" w:hAnsi="Arial" w:cs="Arial"/>
            <w:noProof/>
            <w:webHidden/>
            <w:szCs w:val="22"/>
          </w:rPr>
          <w:t>5</w:t>
        </w:r>
        <w:r w:rsidR="00E264FE" w:rsidRPr="00AA59B5">
          <w:rPr>
            <w:rFonts w:ascii="Arial" w:hAnsi="Arial" w:cs="Arial"/>
            <w:noProof/>
            <w:webHidden/>
            <w:szCs w:val="22"/>
          </w:rPr>
          <w:fldChar w:fldCharType="end"/>
        </w:r>
      </w:hyperlink>
    </w:p>
    <w:p w14:paraId="7B8E6145" w14:textId="7B4A2D8B" w:rsidR="00E264FE" w:rsidRPr="00AA59B5" w:rsidRDefault="00372542" w:rsidP="00A40838">
      <w:pPr>
        <w:pStyle w:val="TOC1"/>
        <w:spacing w:after="240"/>
        <w:ind w:left="1080"/>
        <w:rPr>
          <w:rFonts w:ascii="Arial" w:eastAsiaTheme="minorEastAsia" w:hAnsi="Arial" w:cs="Arial"/>
          <w:noProof/>
          <w:color w:val="auto"/>
          <w:szCs w:val="22"/>
        </w:rPr>
      </w:pPr>
      <w:hyperlink w:anchor="_Toc331591919" w:history="1">
        <w:r w:rsidR="00E264FE" w:rsidRPr="00AA59B5">
          <w:rPr>
            <w:rStyle w:val="Hyperlink"/>
            <w:rFonts w:ascii="Arial" w:hAnsi="Arial" w:cs="Arial"/>
            <w:i/>
            <w:noProof/>
            <w:szCs w:val="22"/>
          </w:rPr>
          <w:t>Step 1: Determination of a Base Figure (26.45)</w:t>
        </w:r>
        <w:r w:rsidR="00E264FE" w:rsidRPr="00AA59B5">
          <w:rPr>
            <w:rFonts w:ascii="Arial" w:hAnsi="Arial" w:cs="Arial"/>
            <w:noProof/>
            <w:webHidden/>
            <w:szCs w:val="22"/>
          </w:rPr>
          <w:tab/>
        </w:r>
        <w:r w:rsidR="00E264FE" w:rsidRPr="00AA59B5">
          <w:rPr>
            <w:rFonts w:ascii="Arial" w:hAnsi="Arial" w:cs="Arial"/>
            <w:noProof/>
            <w:webHidden/>
            <w:szCs w:val="22"/>
          </w:rPr>
          <w:fldChar w:fldCharType="begin"/>
        </w:r>
        <w:r w:rsidR="00E264FE" w:rsidRPr="00AA59B5">
          <w:rPr>
            <w:rFonts w:ascii="Arial" w:hAnsi="Arial" w:cs="Arial"/>
            <w:noProof/>
            <w:webHidden/>
            <w:szCs w:val="22"/>
          </w:rPr>
          <w:instrText xml:space="preserve"> PAGEREF _Toc331591919 \h </w:instrText>
        </w:r>
        <w:r w:rsidR="00E264FE" w:rsidRPr="00AA59B5">
          <w:rPr>
            <w:rFonts w:ascii="Arial" w:hAnsi="Arial" w:cs="Arial"/>
            <w:noProof/>
            <w:webHidden/>
            <w:szCs w:val="22"/>
          </w:rPr>
        </w:r>
        <w:r w:rsidR="00E264FE" w:rsidRPr="00AA59B5">
          <w:rPr>
            <w:rFonts w:ascii="Arial" w:hAnsi="Arial" w:cs="Arial"/>
            <w:noProof/>
            <w:webHidden/>
            <w:szCs w:val="22"/>
          </w:rPr>
          <w:fldChar w:fldCharType="separate"/>
        </w:r>
        <w:r w:rsidR="00351B3D">
          <w:rPr>
            <w:rFonts w:ascii="Arial" w:hAnsi="Arial" w:cs="Arial"/>
            <w:noProof/>
            <w:webHidden/>
            <w:szCs w:val="22"/>
          </w:rPr>
          <w:t>5</w:t>
        </w:r>
        <w:r w:rsidR="00E264FE" w:rsidRPr="00AA59B5">
          <w:rPr>
            <w:rFonts w:ascii="Arial" w:hAnsi="Arial" w:cs="Arial"/>
            <w:noProof/>
            <w:webHidden/>
            <w:szCs w:val="22"/>
          </w:rPr>
          <w:fldChar w:fldCharType="end"/>
        </w:r>
      </w:hyperlink>
    </w:p>
    <w:p w14:paraId="20369312" w14:textId="1D4C35C7" w:rsidR="00E264FE" w:rsidRPr="00AA59B5" w:rsidRDefault="00372542" w:rsidP="00A40838">
      <w:pPr>
        <w:pStyle w:val="TOC1"/>
        <w:spacing w:after="240"/>
        <w:ind w:left="1080"/>
        <w:rPr>
          <w:rFonts w:ascii="Arial" w:eastAsiaTheme="minorEastAsia" w:hAnsi="Arial" w:cs="Arial"/>
          <w:noProof/>
          <w:color w:val="auto"/>
          <w:szCs w:val="22"/>
        </w:rPr>
      </w:pPr>
      <w:hyperlink w:anchor="_Toc331591920" w:history="1">
        <w:r w:rsidR="00E264FE" w:rsidRPr="00AA59B5">
          <w:rPr>
            <w:rStyle w:val="Hyperlink"/>
            <w:rFonts w:ascii="Arial" w:hAnsi="Arial" w:cs="Arial"/>
            <w:i/>
            <w:noProof/>
            <w:szCs w:val="22"/>
          </w:rPr>
          <w:t>Step 2: Adjusting the Base Figure</w:t>
        </w:r>
        <w:r w:rsidR="00E264FE" w:rsidRPr="00AA59B5">
          <w:rPr>
            <w:rFonts w:ascii="Arial" w:hAnsi="Arial" w:cs="Arial"/>
            <w:noProof/>
            <w:webHidden/>
            <w:szCs w:val="22"/>
          </w:rPr>
          <w:tab/>
        </w:r>
        <w:r w:rsidR="00E264FE" w:rsidRPr="00AA59B5">
          <w:rPr>
            <w:rFonts w:ascii="Arial" w:hAnsi="Arial" w:cs="Arial"/>
            <w:noProof/>
            <w:webHidden/>
            <w:szCs w:val="22"/>
          </w:rPr>
          <w:fldChar w:fldCharType="begin"/>
        </w:r>
        <w:r w:rsidR="00E264FE" w:rsidRPr="00AA59B5">
          <w:rPr>
            <w:rFonts w:ascii="Arial" w:hAnsi="Arial" w:cs="Arial"/>
            <w:noProof/>
            <w:webHidden/>
            <w:szCs w:val="22"/>
          </w:rPr>
          <w:instrText xml:space="preserve"> PAGEREF _Toc331591920 \h </w:instrText>
        </w:r>
        <w:r w:rsidR="00E264FE" w:rsidRPr="00AA59B5">
          <w:rPr>
            <w:rFonts w:ascii="Arial" w:hAnsi="Arial" w:cs="Arial"/>
            <w:noProof/>
            <w:webHidden/>
            <w:szCs w:val="22"/>
          </w:rPr>
        </w:r>
        <w:r w:rsidR="00E264FE" w:rsidRPr="00AA59B5">
          <w:rPr>
            <w:rFonts w:ascii="Arial" w:hAnsi="Arial" w:cs="Arial"/>
            <w:noProof/>
            <w:webHidden/>
            <w:szCs w:val="22"/>
          </w:rPr>
          <w:fldChar w:fldCharType="separate"/>
        </w:r>
        <w:r w:rsidR="00351B3D">
          <w:rPr>
            <w:rFonts w:ascii="Arial" w:hAnsi="Arial" w:cs="Arial"/>
            <w:noProof/>
            <w:webHidden/>
            <w:szCs w:val="22"/>
          </w:rPr>
          <w:t>6</w:t>
        </w:r>
        <w:r w:rsidR="00E264FE" w:rsidRPr="00AA59B5">
          <w:rPr>
            <w:rFonts w:ascii="Arial" w:hAnsi="Arial" w:cs="Arial"/>
            <w:noProof/>
            <w:webHidden/>
            <w:szCs w:val="22"/>
          </w:rPr>
          <w:fldChar w:fldCharType="end"/>
        </w:r>
      </w:hyperlink>
    </w:p>
    <w:p w14:paraId="68B4EEE1" w14:textId="199BD65E" w:rsidR="00E264FE" w:rsidRPr="00AA59B5" w:rsidRDefault="00372542" w:rsidP="00A40838">
      <w:pPr>
        <w:pStyle w:val="TOC1"/>
        <w:spacing w:after="240"/>
        <w:ind w:left="1620"/>
        <w:rPr>
          <w:rFonts w:ascii="Arial" w:eastAsiaTheme="minorEastAsia" w:hAnsi="Arial" w:cs="Arial"/>
          <w:noProof/>
          <w:color w:val="auto"/>
          <w:szCs w:val="22"/>
        </w:rPr>
      </w:pPr>
      <w:hyperlink w:anchor="_Toc331591921" w:history="1">
        <w:r w:rsidR="00E264FE" w:rsidRPr="00AA59B5">
          <w:rPr>
            <w:rStyle w:val="Hyperlink"/>
            <w:rFonts w:ascii="Arial" w:hAnsi="Arial" w:cs="Arial"/>
            <w:noProof/>
            <w:szCs w:val="22"/>
          </w:rPr>
          <w:t>A. Past DBE Goal Attainments</w:t>
        </w:r>
        <w:r w:rsidR="00E264FE" w:rsidRPr="00AA59B5">
          <w:rPr>
            <w:rFonts w:ascii="Arial" w:hAnsi="Arial" w:cs="Arial"/>
            <w:noProof/>
            <w:webHidden/>
            <w:szCs w:val="22"/>
          </w:rPr>
          <w:tab/>
        </w:r>
        <w:r w:rsidR="00E264FE" w:rsidRPr="00AA59B5">
          <w:rPr>
            <w:rFonts w:ascii="Arial" w:hAnsi="Arial" w:cs="Arial"/>
            <w:noProof/>
            <w:webHidden/>
            <w:szCs w:val="22"/>
          </w:rPr>
          <w:fldChar w:fldCharType="begin"/>
        </w:r>
        <w:r w:rsidR="00E264FE" w:rsidRPr="00AA59B5">
          <w:rPr>
            <w:rFonts w:ascii="Arial" w:hAnsi="Arial" w:cs="Arial"/>
            <w:noProof/>
            <w:webHidden/>
            <w:szCs w:val="22"/>
          </w:rPr>
          <w:instrText xml:space="preserve"> PAGEREF _Toc331591921 \h </w:instrText>
        </w:r>
        <w:r w:rsidR="00E264FE" w:rsidRPr="00AA59B5">
          <w:rPr>
            <w:rFonts w:ascii="Arial" w:hAnsi="Arial" w:cs="Arial"/>
            <w:noProof/>
            <w:webHidden/>
            <w:szCs w:val="22"/>
          </w:rPr>
        </w:r>
        <w:r w:rsidR="00E264FE" w:rsidRPr="00AA59B5">
          <w:rPr>
            <w:rFonts w:ascii="Arial" w:hAnsi="Arial" w:cs="Arial"/>
            <w:noProof/>
            <w:webHidden/>
            <w:szCs w:val="22"/>
          </w:rPr>
          <w:fldChar w:fldCharType="separate"/>
        </w:r>
        <w:r w:rsidR="00351B3D">
          <w:rPr>
            <w:rFonts w:ascii="Arial" w:hAnsi="Arial" w:cs="Arial"/>
            <w:noProof/>
            <w:webHidden/>
            <w:szCs w:val="22"/>
          </w:rPr>
          <w:t>6</w:t>
        </w:r>
        <w:r w:rsidR="00E264FE" w:rsidRPr="00AA59B5">
          <w:rPr>
            <w:rFonts w:ascii="Arial" w:hAnsi="Arial" w:cs="Arial"/>
            <w:noProof/>
            <w:webHidden/>
            <w:szCs w:val="22"/>
          </w:rPr>
          <w:fldChar w:fldCharType="end"/>
        </w:r>
      </w:hyperlink>
    </w:p>
    <w:p w14:paraId="003D29AD" w14:textId="77777777" w:rsidR="00E264FE" w:rsidRPr="00AA59B5" w:rsidRDefault="00E93113" w:rsidP="00E93113">
      <w:pPr>
        <w:pStyle w:val="TOC1"/>
        <w:spacing w:after="240"/>
        <w:ind w:left="1080" w:hanging="1080"/>
        <w:rPr>
          <w:rFonts w:ascii="Arial" w:eastAsiaTheme="minorEastAsia" w:hAnsi="Arial" w:cs="Arial"/>
          <w:noProof/>
          <w:color w:val="auto"/>
          <w:szCs w:val="22"/>
        </w:rPr>
      </w:pPr>
      <w:r>
        <w:tab/>
        <w:t>B. Other Available Evidence ……………………………………………………………….6</w:t>
      </w:r>
    </w:p>
    <w:p w14:paraId="45746F98" w14:textId="43B50CC4" w:rsidR="00E264FE" w:rsidRPr="00AA59B5" w:rsidRDefault="00372542" w:rsidP="00A40838">
      <w:pPr>
        <w:pStyle w:val="TOC1"/>
        <w:spacing w:after="240"/>
        <w:rPr>
          <w:rStyle w:val="Hyperlink"/>
          <w:rFonts w:ascii="Arial" w:hAnsi="Arial" w:cs="Arial"/>
          <w:noProof/>
          <w:szCs w:val="22"/>
        </w:rPr>
      </w:pPr>
      <w:hyperlink w:anchor="_Toc331591923" w:history="1">
        <w:r w:rsidR="00E264FE" w:rsidRPr="00AA59B5">
          <w:rPr>
            <w:rStyle w:val="Hyperlink"/>
            <w:rFonts w:ascii="Arial" w:hAnsi="Arial" w:cs="Arial"/>
            <w:noProof/>
            <w:szCs w:val="22"/>
          </w:rPr>
          <w:t>V.</w:t>
        </w:r>
        <w:r w:rsidR="00E264FE" w:rsidRPr="00AA59B5">
          <w:rPr>
            <w:rStyle w:val="Hyperlink"/>
            <w:rFonts w:ascii="Arial" w:hAnsi="Arial" w:cs="Arial"/>
            <w:noProof/>
            <w:szCs w:val="22"/>
          </w:rPr>
          <w:tab/>
          <w:t>PROPOSED OVERALL DBE GOAL</w:t>
        </w:r>
        <w:r w:rsidR="00E264FE" w:rsidRPr="00AA59B5">
          <w:rPr>
            <w:rFonts w:ascii="Arial" w:hAnsi="Arial" w:cs="Arial"/>
            <w:noProof/>
            <w:webHidden/>
            <w:szCs w:val="22"/>
          </w:rPr>
          <w:tab/>
        </w:r>
        <w:r w:rsidR="00E264FE" w:rsidRPr="00AA59B5">
          <w:rPr>
            <w:rFonts w:ascii="Arial" w:hAnsi="Arial" w:cs="Arial"/>
            <w:noProof/>
            <w:webHidden/>
            <w:szCs w:val="22"/>
          </w:rPr>
          <w:fldChar w:fldCharType="begin"/>
        </w:r>
        <w:r w:rsidR="00E264FE" w:rsidRPr="00AA59B5">
          <w:rPr>
            <w:rFonts w:ascii="Arial" w:hAnsi="Arial" w:cs="Arial"/>
            <w:noProof/>
            <w:webHidden/>
            <w:szCs w:val="22"/>
          </w:rPr>
          <w:instrText xml:space="preserve"> PAGEREF _Toc331591923 \h </w:instrText>
        </w:r>
        <w:r w:rsidR="00E264FE" w:rsidRPr="00AA59B5">
          <w:rPr>
            <w:rFonts w:ascii="Arial" w:hAnsi="Arial" w:cs="Arial"/>
            <w:noProof/>
            <w:webHidden/>
            <w:szCs w:val="22"/>
          </w:rPr>
        </w:r>
        <w:r w:rsidR="00E264FE" w:rsidRPr="00AA59B5">
          <w:rPr>
            <w:rFonts w:ascii="Arial" w:hAnsi="Arial" w:cs="Arial"/>
            <w:noProof/>
            <w:webHidden/>
            <w:szCs w:val="22"/>
          </w:rPr>
          <w:fldChar w:fldCharType="separate"/>
        </w:r>
        <w:r w:rsidR="00351B3D">
          <w:rPr>
            <w:rFonts w:ascii="Arial" w:hAnsi="Arial" w:cs="Arial"/>
            <w:noProof/>
            <w:webHidden/>
            <w:szCs w:val="22"/>
          </w:rPr>
          <w:t>7</w:t>
        </w:r>
        <w:r w:rsidR="00E264FE" w:rsidRPr="00AA59B5">
          <w:rPr>
            <w:rFonts w:ascii="Arial" w:hAnsi="Arial" w:cs="Arial"/>
            <w:noProof/>
            <w:webHidden/>
            <w:szCs w:val="22"/>
          </w:rPr>
          <w:fldChar w:fldCharType="end"/>
        </w:r>
      </w:hyperlink>
    </w:p>
    <w:p w14:paraId="1EE9F855" w14:textId="77777777" w:rsidR="00E264FE" w:rsidRPr="00AA59B5" w:rsidRDefault="00E264FE" w:rsidP="00A40838">
      <w:pPr>
        <w:spacing w:after="240"/>
        <w:rPr>
          <w:rFonts w:ascii="Arial" w:hAnsi="Arial" w:cs="Arial"/>
          <w:szCs w:val="22"/>
        </w:rPr>
      </w:pPr>
    </w:p>
    <w:p w14:paraId="10E89C24" w14:textId="054DB3A1" w:rsidR="00E264FE" w:rsidRPr="00AA59B5" w:rsidRDefault="00372542" w:rsidP="00A40838">
      <w:pPr>
        <w:pStyle w:val="TOC1"/>
        <w:spacing w:after="240"/>
        <w:rPr>
          <w:rFonts w:ascii="Arial" w:eastAsiaTheme="minorEastAsia" w:hAnsi="Arial" w:cs="Arial"/>
          <w:noProof/>
          <w:color w:val="auto"/>
          <w:szCs w:val="22"/>
        </w:rPr>
      </w:pPr>
      <w:hyperlink w:anchor="_Toc331591924" w:history="1">
        <w:r w:rsidR="00E264FE" w:rsidRPr="00AA59B5">
          <w:rPr>
            <w:rStyle w:val="Hyperlink"/>
            <w:rFonts w:ascii="Arial" w:hAnsi="Arial" w:cs="Arial"/>
            <w:noProof/>
            <w:szCs w:val="22"/>
          </w:rPr>
          <w:t>ATTACHMENT I</w:t>
        </w:r>
        <w:r w:rsidR="00E264FE" w:rsidRPr="00AA59B5">
          <w:rPr>
            <w:rFonts w:ascii="Arial" w:hAnsi="Arial" w:cs="Arial"/>
            <w:noProof/>
            <w:webHidden/>
            <w:szCs w:val="22"/>
          </w:rPr>
          <w:tab/>
        </w:r>
        <w:r w:rsidR="00E264FE" w:rsidRPr="00AA59B5">
          <w:rPr>
            <w:rFonts w:ascii="Arial" w:hAnsi="Arial" w:cs="Arial"/>
            <w:noProof/>
            <w:webHidden/>
            <w:szCs w:val="22"/>
          </w:rPr>
          <w:fldChar w:fldCharType="begin"/>
        </w:r>
        <w:r w:rsidR="00E264FE" w:rsidRPr="00AA59B5">
          <w:rPr>
            <w:rFonts w:ascii="Arial" w:hAnsi="Arial" w:cs="Arial"/>
            <w:noProof/>
            <w:webHidden/>
            <w:szCs w:val="22"/>
          </w:rPr>
          <w:instrText xml:space="preserve"> PAGEREF _Toc331591924 \h </w:instrText>
        </w:r>
        <w:r w:rsidR="00E264FE" w:rsidRPr="00AA59B5">
          <w:rPr>
            <w:rFonts w:ascii="Arial" w:hAnsi="Arial" w:cs="Arial"/>
            <w:noProof/>
            <w:webHidden/>
            <w:szCs w:val="22"/>
          </w:rPr>
        </w:r>
        <w:r w:rsidR="00E264FE" w:rsidRPr="00AA59B5">
          <w:rPr>
            <w:rFonts w:ascii="Arial" w:hAnsi="Arial" w:cs="Arial"/>
            <w:noProof/>
            <w:webHidden/>
            <w:szCs w:val="22"/>
          </w:rPr>
          <w:fldChar w:fldCharType="separate"/>
        </w:r>
        <w:r w:rsidR="00351B3D">
          <w:rPr>
            <w:rFonts w:ascii="Arial" w:hAnsi="Arial" w:cs="Arial"/>
            <w:noProof/>
            <w:webHidden/>
            <w:szCs w:val="22"/>
          </w:rPr>
          <w:t>10</w:t>
        </w:r>
        <w:r w:rsidR="00E264FE" w:rsidRPr="00AA59B5">
          <w:rPr>
            <w:rFonts w:ascii="Arial" w:hAnsi="Arial" w:cs="Arial"/>
            <w:noProof/>
            <w:webHidden/>
            <w:szCs w:val="22"/>
          </w:rPr>
          <w:fldChar w:fldCharType="end"/>
        </w:r>
      </w:hyperlink>
    </w:p>
    <w:p w14:paraId="46BABA97" w14:textId="01E4F4BA" w:rsidR="00E264FE" w:rsidRPr="00AA59B5" w:rsidRDefault="00372542" w:rsidP="00A40838">
      <w:pPr>
        <w:pStyle w:val="TOC1"/>
        <w:spacing w:after="240"/>
        <w:rPr>
          <w:rFonts w:ascii="Arial" w:eastAsiaTheme="minorEastAsia" w:hAnsi="Arial" w:cs="Arial"/>
          <w:noProof/>
          <w:color w:val="auto"/>
          <w:szCs w:val="22"/>
        </w:rPr>
      </w:pPr>
      <w:hyperlink w:anchor="_Toc331591925" w:history="1">
        <w:r w:rsidR="00E264FE" w:rsidRPr="00AA59B5">
          <w:rPr>
            <w:rStyle w:val="Hyperlink"/>
            <w:rFonts w:ascii="Arial" w:hAnsi="Arial" w:cs="Arial"/>
            <w:noProof/>
            <w:szCs w:val="22"/>
          </w:rPr>
          <w:t>ATTACHMENT II</w:t>
        </w:r>
        <w:r w:rsidR="00E264FE" w:rsidRPr="00AA59B5">
          <w:rPr>
            <w:rFonts w:ascii="Arial" w:hAnsi="Arial" w:cs="Arial"/>
            <w:noProof/>
            <w:webHidden/>
            <w:szCs w:val="22"/>
          </w:rPr>
          <w:tab/>
        </w:r>
        <w:r w:rsidR="00E264FE" w:rsidRPr="00AA59B5">
          <w:rPr>
            <w:rFonts w:ascii="Arial" w:hAnsi="Arial" w:cs="Arial"/>
            <w:noProof/>
            <w:webHidden/>
            <w:szCs w:val="22"/>
          </w:rPr>
          <w:fldChar w:fldCharType="begin"/>
        </w:r>
        <w:r w:rsidR="00E264FE" w:rsidRPr="00AA59B5">
          <w:rPr>
            <w:rFonts w:ascii="Arial" w:hAnsi="Arial" w:cs="Arial"/>
            <w:noProof/>
            <w:webHidden/>
            <w:szCs w:val="22"/>
          </w:rPr>
          <w:instrText xml:space="preserve"> PAGEREF _Toc331591925 \h </w:instrText>
        </w:r>
        <w:r w:rsidR="00E264FE" w:rsidRPr="00AA59B5">
          <w:rPr>
            <w:rFonts w:ascii="Arial" w:hAnsi="Arial" w:cs="Arial"/>
            <w:noProof/>
            <w:webHidden/>
            <w:szCs w:val="22"/>
          </w:rPr>
        </w:r>
        <w:r w:rsidR="00E264FE" w:rsidRPr="00AA59B5">
          <w:rPr>
            <w:rFonts w:ascii="Arial" w:hAnsi="Arial" w:cs="Arial"/>
            <w:noProof/>
            <w:webHidden/>
            <w:szCs w:val="22"/>
          </w:rPr>
          <w:fldChar w:fldCharType="separate"/>
        </w:r>
        <w:r w:rsidR="00351B3D">
          <w:rPr>
            <w:rFonts w:ascii="Arial" w:hAnsi="Arial" w:cs="Arial"/>
            <w:noProof/>
            <w:webHidden/>
            <w:szCs w:val="22"/>
          </w:rPr>
          <w:t>11</w:t>
        </w:r>
        <w:r w:rsidR="00E264FE" w:rsidRPr="00AA59B5">
          <w:rPr>
            <w:rFonts w:ascii="Arial" w:hAnsi="Arial" w:cs="Arial"/>
            <w:noProof/>
            <w:webHidden/>
            <w:szCs w:val="22"/>
          </w:rPr>
          <w:fldChar w:fldCharType="end"/>
        </w:r>
      </w:hyperlink>
    </w:p>
    <w:p w14:paraId="0494FE76" w14:textId="77777777" w:rsidR="008C3802" w:rsidRPr="00AA59B5" w:rsidRDefault="008C3802" w:rsidP="00640F76">
      <w:pPr>
        <w:spacing w:after="0"/>
        <w:rPr>
          <w:rFonts w:ascii="Arial" w:hAnsi="Arial" w:cs="Arial"/>
          <w:b/>
          <w:szCs w:val="22"/>
        </w:rPr>
      </w:pPr>
      <w:r w:rsidRPr="00AA59B5">
        <w:rPr>
          <w:rFonts w:ascii="Arial" w:hAnsi="Arial" w:cs="Arial"/>
          <w:b/>
          <w:szCs w:val="22"/>
        </w:rPr>
        <w:fldChar w:fldCharType="end"/>
      </w:r>
    </w:p>
    <w:p w14:paraId="62F2B2E8" w14:textId="77777777" w:rsidR="008C3802" w:rsidRPr="00AA59B5" w:rsidRDefault="008C3802" w:rsidP="00640F76">
      <w:pPr>
        <w:spacing w:after="0"/>
        <w:rPr>
          <w:rFonts w:ascii="Arial" w:hAnsi="Arial" w:cs="Arial"/>
          <w:b/>
          <w:szCs w:val="22"/>
        </w:rPr>
      </w:pPr>
    </w:p>
    <w:p w14:paraId="13C65769" w14:textId="77777777" w:rsidR="008C3802" w:rsidRPr="00AA59B5" w:rsidRDefault="008C3802">
      <w:pPr>
        <w:spacing w:after="0" w:line="240" w:lineRule="auto"/>
        <w:rPr>
          <w:rFonts w:ascii="Arial" w:hAnsi="Arial" w:cs="Arial"/>
          <w:b/>
          <w:szCs w:val="22"/>
        </w:rPr>
      </w:pPr>
      <w:r w:rsidRPr="00AA59B5">
        <w:rPr>
          <w:rFonts w:ascii="Arial" w:hAnsi="Arial" w:cs="Arial"/>
          <w:b/>
          <w:szCs w:val="22"/>
        </w:rPr>
        <w:br w:type="page"/>
      </w:r>
    </w:p>
    <w:p w14:paraId="3B14048D" w14:textId="77777777" w:rsidR="00D012BA" w:rsidRPr="00AA59B5" w:rsidRDefault="00640F76" w:rsidP="00640F76">
      <w:pPr>
        <w:spacing w:after="0"/>
        <w:rPr>
          <w:rFonts w:ascii="Arial" w:hAnsi="Arial" w:cs="Arial"/>
          <w:b/>
          <w:szCs w:val="22"/>
        </w:rPr>
      </w:pPr>
      <w:r w:rsidRPr="00AA59B5">
        <w:rPr>
          <w:rFonts w:ascii="Arial" w:hAnsi="Arial" w:cs="Arial"/>
          <w:b/>
          <w:szCs w:val="22"/>
        </w:rPr>
        <w:lastRenderedPageBreak/>
        <w:t>DBE GOAL METHODOLOGY</w:t>
      </w:r>
    </w:p>
    <w:p w14:paraId="09FF71EA" w14:textId="77777777" w:rsidR="00D012BA" w:rsidRPr="00AA59B5" w:rsidRDefault="00D012BA" w:rsidP="008C3802">
      <w:pPr>
        <w:pStyle w:val="Heading1"/>
        <w:spacing w:after="240"/>
        <w:rPr>
          <w:rFonts w:ascii="Arial" w:hAnsi="Arial" w:cs="Arial"/>
          <w:sz w:val="22"/>
          <w:szCs w:val="22"/>
        </w:rPr>
      </w:pPr>
      <w:bookmarkStart w:id="0" w:name="_Toc331591915"/>
      <w:r w:rsidRPr="00AA59B5">
        <w:rPr>
          <w:rFonts w:ascii="Arial" w:hAnsi="Arial" w:cs="Arial"/>
          <w:sz w:val="22"/>
          <w:szCs w:val="22"/>
        </w:rPr>
        <w:t>I.  INTRODUCTION</w:t>
      </w:r>
      <w:bookmarkEnd w:id="0"/>
      <w:r w:rsidRPr="00AA59B5">
        <w:rPr>
          <w:rFonts w:ascii="Arial" w:hAnsi="Arial" w:cs="Arial"/>
          <w:sz w:val="22"/>
          <w:szCs w:val="22"/>
        </w:rPr>
        <w:t xml:space="preserve"> </w:t>
      </w:r>
    </w:p>
    <w:p w14:paraId="27C1C592" w14:textId="1B7B69D2" w:rsidR="00C21AE9" w:rsidRPr="00AA59B5" w:rsidRDefault="00AA59B5" w:rsidP="00C21AE9">
      <w:pPr>
        <w:autoSpaceDE w:val="0"/>
        <w:autoSpaceDN w:val="0"/>
        <w:adjustRightInd w:val="0"/>
        <w:spacing w:after="0" w:line="240" w:lineRule="auto"/>
        <w:jc w:val="both"/>
        <w:rPr>
          <w:rFonts w:ascii="Arial" w:eastAsia="Times New Roman" w:hAnsi="Arial" w:cs="Arial"/>
          <w:color w:val="auto"/>
          <w:szCs w:val="22"/>
        </w:rPr>
      </w:pPr>
      <w:r>
        <w:rPr>
          <w:rFonts w:ascii="Arial" w:eastAsia="Times New Roman" w:hAnsi="Arial" w:cs="Arial"/>
          <w:color w:val="auto"/>
          <w:szCs w:val="22"/>
        </w:rPr>
        <w:t>VVTA</w:t>
      </w:r>
      <w:r w:rsidR="00C21AE9" w:rsidRPr="00AA59B5">
        <w:rPr>
          <w:rFonts w:ascii="Arial" w:eastAsia="Times New Roman" w:hAnsi="Arial" w:cs="Arial"/>
          <w:color w:val="auto"/>
          <w:szCs w:val="22"/>
        </w:rPr>
        <w:t xml:space="preserve"> herein sets forth its Overall Disadvantaged Business Enterprise (DBE) Goal and corresponding federally prescribed goal-setting methodology for the three-year Federal Fiscal Year (FFY) goal period of </w:t>
      </w:r>
      <w:r w:rsidR="00066B5F">
        <w:rPr>
          <w:rFonts w:ascii="Arial" w:eastAsia="Times New Roman" w:hAnsi="Arial" w:cs="Arial"/>
          <w:color w:val="auto"/>
          <w:szCs w:val="22"/>
        </w:rPr>
        <w:t>2022-2024</w:t>
      </w:r>
      <w:r w:rsidR="002A1905" w:rsidRPr="00AA59B5">
        <w:rPr>
          <w:rFonts w:ascii="Arial" w:eastAsia="Times New Roman" w:hAnsi="Arial" w:cs="Arial"/>
          <w:color w:val="auto"/>
          <w:szCs w:val="22"/>
        </w:rPr>
        <w:t xml:space="preserve"> (October 1, 20</w:t>
      </w:r>
      <w:r w:rsidR="00066B5F">
        <w:rPr>
          <w:rFonts w:ascii="Arial" w:eastAsia="Times New Roman" w:hAnsi="Arial" w:cs="Arial"/>
          <w:color w:val="auto"/>
          <w:szCs w:val="22"/>
        </w:rPr>
        <w:t>21</w:t>
      </w:r>
      <w:r w:rsidR="002A1905" w:rsidRPr="00AA59B5">
        <w:rPr>
          <w:rFonts w:ascii="Arial" w:eastAsia="Times New Roman" w:hAnsi="Arial" w:cs="Arial"/>
          <w:color w:val="auto"/>
          <w:szCs w:val="22"/>
        </w:rPr>
        <w:t xml:space="preserve"> through September 30, 2</w:t>
      </w:r>
      <w:r w:rsidR="00D370C0">
        <w:rPr>
          <w:rFonts w:ascii="Arial" w:eastAsia="Times New Roman" w:hAnsi="Arial" w:cs="Arial"/>
          <w:color w:val="auto"/>
          <w:szCs w:val="22"/>
        </w:rPr>
        <w:t>02</w:t>
      </w:r>
      <w:r w:rsidR="00066B5F">
        <w:rPr>
          <w:rFonts w:ascii="Arial" w:eastAsia="Times New Roman" w:hAnsi="Arial" w:cs="Arial"/>
          <w:color w:val="auto"/>
          <w:szCs w:val="22"/>
        </w:rPr>
        <w:t>4</w:t>
      </w:r>
      <w:r w:rsidR="002A1905" w:rsidRPr="00AA59B5">
        <w:rPr>
          <w:rFonts w:ascii="Arial" w:eastAsia="Times New Roman" w:hAnsi="Arial" w:cs="Arial"/>
          <w:color w:val="auto"/>
          <w:szCs w:val="22"/>
        </w:rPr>
        <w:t>)</w:t>
      </w:r>
      <w:r w:rsidR="00C21AE9" w:rsidRPr="00AA59B5">
        <w:rPr>
          <w:rFonts w:ascii="Arial" w:eastAsia="Times New Roman" w:hAnsi="Arial" w:cs="Arial"/>
          <w:color w:val="auto"/>
          <w:szCs w:val="22"/>
        </w:rPr>
        <w:t>, pursuant to Title 49 Code of Federal Regulations (CFR) Part 26 “Participation by Disadvantaged Business Enterprises in U.S. Department of Transportation Programs.”  The purpose of the DBE goal-setting process is to level the playing field so that DBEs can compete fairly for Department of Transportation-assisted contracts, however, the program must be narrowly tailored in accordance with applicable law.</w:t>
      </w:r>
    </w:p>
    <w:p w14:paraId="4FC54848" w14:textId="77777777" w:rsidR="00D012BA" w:rsidRPr="00AA59B5" w:rsidRDefault="00D012BA" w:rsidP="008C3802">
      <w:pPr>
        <w:pStyle w:val="Heading1"/>
        <w:spacing w:after="240"/>
        <w:rPr>
          <w:rFonts w:ascii="Arial" w:hAnsi="Arial" w:cs="Arial"/>
          <w:sz w:val="22"/>
          <w:szCs w:val="22"/>
        </w:rPr>
      </w:pPr>
      <w:bookmarkStart w:id="1" w:name="_Toc331591916"/>
      <w:r w:rsidRPr="00AA59B5">
        <w:rPr>
          <w:rFonts w:ascii="Arial" w:hAnsi="Arial" w:cs="Arial"/>
          <w:sz w:val="22"/>
          <w:szCs w:val="22"/>
        </w:rPr>
        <w:t>II. BACKGROUND</w:t>
      </w:r>
      <w:bookmarkEnd w:id="1"/>
      <w:r w:rsidRPr="00AA59B5">
        <w:rPr>
          <w:rFonts w:ascii="Arial" w:hAnsi="Arial" w:cs="Arial"/>
          <w:sz w:val="22"/>
          <w:szCs w:val="22"/>
        </w:rPr>
        <w:t xml:space="preserve"> </w:t>
      </w:r>
    </w:p>
    <w:p w14:paraId="5E72CE9E" w14:textId="77777777" w:rsidR="00AE6DFC" w:rsidRPr="00AA59B5" w:rsidRDefault="00AA59B5" w:rsidP="00AE6DFC">
      <w:pPr>
        <w:autoSpaceDE w:val="0"/>
        <w:autoSpaceDN w:val="0"/>
        <w:adjustRightInd w:val="0"/>
        <w:spacing w:after="0" w:line="240" w:lineRule="auto"/>
        <w:jc w:val="both"/>
        <w:rPr>
          <w:rFonts w:ascii="Arial" w:eastAsia="Times New Roman" w:hAnsi="Arial" w:cs="Arial"/>
          <w:color w:val="auto"/>
          <w:szCs w:val="22"/>
        </w:rPr>
      </w:pPr>
      <w:r>
        <w:rPr>
          <w:rFonts w:ascii="Arial" w:eastAsia="Times New Roman" w:hAnsi="Arial" w:cs="Arial"/>
          <w:color w:val="auto"/>
          <w:szCs w:val="22"/>
        </w:rPr>
        <w:t>VVTA</w:t>
      </w:r>
      <w:r w:rsidR="00AE6DFC" w:rsidRPr="00AA59B5">
        <w:rPr>
          <w:rFonts w:ascii="Arial" w:eastAsia="Times New Roman" w:hAnsi="Arial" w:cs="Arial"/>
          <w:color w:val="auto"/>
          <w:szCs w:val="22"/>
        </w:rPr>
        <w:t xml:space="preserve"> is a recipient of U.S. Department of Transportation (USDOT), Federal Transit Administration (FTA), funding.  As a condition of receiving this assistance, </w:t>
      </w:r>
      <w:r>
        <w:rPr>
          <w:rFonts w:ascii="Arial" w:eastAsia="Times New Roman" w:hAnsi="Arial" w:cs="Arial"/>
          <w:color w:val="auto"/>
          <w:szCs w:val="22"/>
        </w:rPr>
        <w:t>VVTA</w:t>
      </w:r>
      <w:r w:rsidR="00AE6DFC" w:rsidRPr="00AA59B5">
        <w:rPr>
          <w:rFonts w:ascii="Arial" w:eastAsia="Times New Roman" w:hAnsi="Arial" w:cs="Arial"/>
          <w:color w:val="auto"/>
          <w:szCs w:val="22"/>
        </w:rPr>
        <w:t xml:space="preserve"> </w:t>
      </w:r>
      <w:r w:rsidR="006C0E5B" w:rsidRPr="00AA59B5">
        <w:rPr>
          <w:rFonts w:ascii="Arial" w:eastAsia="Times New Roman" w:hAnsi="Arial" w:cs="Arial"/>
          <w:color w:val="auto"/>
          <w:szCs w:val="22"/>
        </w:rPr>
        <w:t xml:space="preserve">signed </w:t>
      </w:r>
      <w:r w:rsidR="00AE6DFC" w:rsidRPr="00AA59B5">
        <w:rPr>
          <w:rFonts w:ascii="Arial" w:eastAsia="Times New Roman" w:hAnsi="Arial" w:cs="Arial"/>
          <w:color w:val="auto"/>
          <w:szCs w:val="22"/>
        </w:rPr>
        <w:t xml:space="preserve">an assurance that it will comply with FTA’s DBE requirements.  In accordance with Title 49 CFR Part 26 provisions:  Participation by DBEs in USDOT Programs, </w:t>
      </w:r>
      <w:r>
        <w:rPr>
          <w:rFonts w:ascii="Arial" w:eastAsia="Times New Roman" w:hAnsi="Arial" w:cs="Arial"/>
          <w:color w:val="auto"/>
          <w:szCs w:val="22"/>
        </w:rPr>
        <w:t>VVTA</w:t>
      </w:r>
      <w:r w:rsidR="00AE6DFC" w:rsidRPr="00AA59B5">
        <w:rPr>
          <w:rFonts w:ascii="Arial" w:eastAsia="Times New Roman" w:hAnsi="Arial" w:cs="Arial"/>
          <w:color w:val="auto"/>
          <w:szCs w:val="22"/>
        </w:rPr>
        <w:t xml:space="preserve"> is required to develop and submit a Triennial </w:t>
      </w:r>
      <w:r w:rsidR="0028510E" w:rsidRPr="00AA59B5">
        <w:rPr>
          <w:rFonts w:ascii="Arial" w:eastAsia="Times New Roman" w:hAnsi="Arial" w:cs="Arial"/>
          <w:color w:val="auto"/>
          <w:szCs w:val="22"/>
        </w:rPr>
        <w:t xml:space="preserve">Overall DBE </w:t>
      </w:r>
      <w:r w:rsidR="00AE6DFC" w:rsidRPr="00AA59B5">
        <w:rPr>
          <w:rFonts w:ascii="Arial" w:eastAsia="Times New Roman" w:hAnsi="Arial" w:cs="Arial"/>
          <w:color w:val="auto"/>
          <w:szCs w:val="22"/>
        </w:rPr>
        <w:t xml:space="preserve">Goal for its FTA-assisted projects. </w:t>
      </w:r>
    </w:p>
    <w:p w14:paraId="756D62C7" w14:textId="77777777" w:rsidR="00AE6DFC" w:rsidRPr="00AA59B5" w:rsidRDefault="00AE6DFC" w:rsidP="00C21AE9">
      <w:pPr>
        <w:autoSpaceDE w:val="0"/>
        <w:autoSpaceDN w:val="0"/>
        <w:adjustRightInd w:val="0"/>
        <w:spacing w:after="0" w:line="240" w:lineRule="auto"/>
        <w:jc w:val="both"/>
        <w:rPr>
          <w:rFonts w:ascii="Arial" w:eastAsia="Times New Roman" w:hAnsi="Arial" w:cs="Arial"/>
          <w:color w:val="auto"/>
          <w:szCs w:val="22"/>
        </w:rPr>
      </w:pPr>
    </w:p>
    <w:p w14:paraId="00737544" w14:textId="7EFFCCE3" w:rsidR="002A7535" w:rsidRPr="00AA59B5" w:rsidRDefault="00AA59B5" w:rsidP="002A7535">
      <w:pPr>
        <w:autoSpaceDE w:val="0"/>
        <w:autoSpaceDN w:val="0"/>
        <w:adjustRightInd w:val="0"/>
        <w:spacing w:after="0" w:line="240" w:lineRule="auto"/>
        <w:jc w:val="both"/>
        <w:rPr>
          <w:rFonts w:ascii="Arial" w:eastAsia="Times New Roman" w:hAnsi="Arial" w:cs="Arial"/>
          <w:color w:val="auto"/>
          <w:szCs w:val="22"/>
        </w:rPr>
      </w:pPr>
      <w:r>
        <w:rPr>
          <w:rFonts w:ascii="Arial" w:eastAsia="Times New Roman" w:hAnsi="Arial" w:cs="Arial"/>
          <w:color w:val="auto"/>
          <w:szCs w:val="22"/>
        </w:rPr>
        <w:t>VVTA</w:t>
      </w:r>
      <w:r w:rsidR="002A7535" w:rsidRPr="00AA59B5">
        <w:rPr>
          <w:rFonts w:ascii="Arial" w:eastAsia="Times New Roman" w:hAnsi="Arial" w:cs="Arial"/>
          <w:color w:val="auto"/>
          <w:szCs w:val="22"/>
        </w:rPr>
        <w:t xml:space="preserve"> herein presents its Overall DBE Goal Methodology for FFY </w:t>
      </w:r>
      <w:r w:rsidR="00EE4356">
        <w:rPr>
          <w:rFonts w:ascii="Arial" w:eastAsia="Times New Roman" w:hAnsi="Arial" w:cs="Arial"/>
          <w:color w:val="auto"/>
          <w:szCs w:val="22"/>
        </w:rPr>
        <w:t>2022-2024</w:t>
      </w:r>
      <w:r w:rsidR="007C43CC" w:rsidRPr="00AA59B5">
        <w:rPr>
          <w:rFonts w:ascii="Arial" w:eastAsia="Times New Roman" w:hAnsi="Arial" w:cs="Arial"/>
          <w:color w:val="auto"/>
          <w:szCs w:val="22"/>
        </w:rPr>
        <w:t>.</w:t>
      </w:r>
    </w:p>
    <w:p w14:paraId="686666AD" w14:textId="0F6B26B9" w:rsidR="00D012BA" w:rsidRPr="00AA59B5" w:rsidRDefault="00D012BA" w:rsidP="008C3802">
      <w:pPr>
        <w:pStyle w:val="Heading1"/>
        <w:spacing w:after="240"/>
        <w:rPr>
          <w:rFonts w:ascii="Arial" w:hAnsi="Arial" w:cs="Arial"/>
          <w:sz w:val="22"/>
          <w:szCs w:val="22"/>
        </w:rPr>
      </w:pPr>
      <w:bookmarkStart w:id="2" w:name="_Toc331591917"/>
      <w:r w:rsidRPr="00AA59B5">
        <w:rPr>
          <w:rFonts w:ascii="Arial" w:hAnsi="Arial" w:cs="Arial"/>
          <w:sz w:val="22"/>
          <w:szCs w:val="22"/>
        </w:rPr>
        <w:t>III.    F</w:t>
      </w:r>
      <w:r w:rsidR="002A7535" w:rsidRPr="00AA59B5">
        <w:rPr>
          <w:rFonts w:ascii="Arial" w:hAnsi="Arial" w:cs="Arial"/>
          <w:sz w:val="22"/>
          <w:szCs w:val="22"/>
        </w:rPr>
        <w:t>T</w:t>
      </w:r>
      <w:r w:rsidRPr="00AA59B5">
        <w:rPr>
          <w:rFonts w:ascii="Arial" w:hAnsi="Arial" w:cs="Arial"/>
          <w:sz w:val="22"/>
          <w:szCs w:val="22"/>
        </w:rPr>
        <w:t xml:space="preserve">A-ASSISTED CONTRACTING PROGRAM FOR FFY </w:t>
      </w:r>
      <w:bookmarkEnd w:id="2"/>
      <w:r w:rsidR="00D370C0">
        <w:rPr>
          <w:rFonts w:ascii="Arial" w:hAnsi="Arial" w:cs="Arial"/>
          <w:sz w:val="22"/>
          <w:szCs w:val="22"/>
        </w:rPr>
        <w:t>20</w:t>
      </w:r>
      <w:r w:rsidR="00EE4356">
        <w:rPr>
          <w:rFonts w:ascii="Arial" w:hAnsi="Arial" w:cs="Arial"/>
          <w:sz w:val="22"/>
          <w:szCs w:val="22"/>
        </w:rPr>
        <w:t>22-2024</w:t>
      </w:r>
      <w:r w:rsidRPr="00AA59B5">
        <w:rPr>
          <w:rFonts w:ascii="Arial" w:hAnsi="Arial" w:cs="Arial"/>
          <w:sz w:val="22"/>
          <w:szCs w:val="22"/>
        </w:rPr>
        <w:t xml:space="preserve"> </w:t>
      </w:r>
    </w:p>
    <w:p w14:paraId="3B7DE4CC" w14:textId="77777777" w:rsidR="002A7535" w:rsidRPr="00AA59B5" w:rsidRDefault="00D012BA" w:rsidP="002A7535">
      <w:pPr>
        <w:autoSpaceDE w:val="0"/>
        <w:autoSpaceDN w:val="0"/>
        <w:adjustRightInd w:val="0"/>
        <w:spacing w:after="0" w:line="240" w:lineRule="auto"/>
        <w:jc w:val="both"/>
        <w:rPr>
          <w:rFonts w:ascii="Arial" w:eastAsia="Times New Roman" w:hAnsi="Arial" w:cs="Arial"/>
          <w:color w:val="auto"/>
          <w:szCs w:val="22"/>
        </w:rPr>
      </w:pPr>
      <w:r w:rsidRPr="00AA59B5">
        <w:rPr>
          <w:rFonts w:ascii="Arial" w:eastAsia="Times New Roman" w:hAnsi="Arial" w:cs="Arial"/>
          <w:color w:val="auto"/>
          <w:szCs w:val="22"/>
        </w:rPr>
        <w:t xml:space="preserve">Table 1 </w:t>
      </w:r>
      <w:r w:rsidR="002A7535" w:rsidRPr="00AA59B5">
        <w:rPr>
          <w:rFonts w:ascii="Arial" w:eastAsia="Times New Roman" w:hAnsi="Arial" w:cs="Arial"/>
          <w:color w:val="auto"/>
          <w:szCs w:val="22"/>
        </w:rPr>
        <w:t xml:space="preserve">represents </w:t>
      </w:r>
      <w:r w:rsidR="00461327">
        <w:rPr>
          <w:rFonts w:ascii="Arial" w:eastAsia="Times New Roman" w:hAnsi="Arial" w:cs="Arial"/>
          <w:color w:val="auto"/>
          <w:szCs w:val="22"/>
        </w:rPr>
        <w:t>VVTA’S</w:t>
      </w:r>
      <w:r w:rsidR="00AA59B5">
        <w:rPr>
          <w:rFonts w:ascii="Arial" w:eastAsia="Times New Roman" w:hAnsi="Arial" w:cs="Arial"/>
          <w:color w:val="auto"/>
          <w:szCs w:val="22"/>
        </w:rPr>
        <w:t>s</w:t>
      </w:r>
      <w:r w:rsidRPr="00AA59B5">
        <w:rPr>
          <w:rFonts w:ascii="Arial" w:eastAsia="Times New Roman" w:hAnsi="Arial" w:cs="Arial"/>
          <w:color w:val="auto"/>
          <w:szCs w:val="22"/>
        </w:rPr>
        <w:t xml:space="preserve"> </w:t>
      </w:r>
      <w:r w:rsidR="002A7535" w:rsidRPr="00AA59B5">
        <w:rPr>
          <w:rFonts w:ascii="Arial" w:eastAsia="Times New Roman" w:hAnsi="Arial" w:cs="Arial"/>
          <w:color w:val="auto"/>
          <w:szCs w:val="22"/>
        </w:rPr>
        <w:t>FTA</w:t>
      </w:r>
      <w:r w:rsidRPr="00AA59B5">
        <w:rPr>
          <w:rFonts w:ascii="Arial" w:eastAsia="Times New Roman" w:hAnsi="Arial" w:cs="Arial"/>
          <w:color w:val="auto"/>
          <w:szCs w:val="22"/>
        </w:rPr>
        <w:t>-assisted contracting program</w:t>
      </w:r>
      <w:r w:rsidR="002A7535" w:rsidRPr="00AA59B5">
        <w:rPr>
          <w:rFonts w:ascii="Arial" w:eastAsia="Times New Roman" w:hAnsi="Arial" w:cs="Arial"/>
          <w:color w:val="auto"/>
          <w:szCs w:val="22"/>
        </w:rPr>
        <w:t xml:space="preserve">, </w:t>
      </w:r>
      <w:r w:rsidRPr="00AA59B5">
        <w:rPr>
          <w:rFonts w:ascii="Arial" w:eastAsia="Times New Roman" w:hAnsi="Arial" w:cs="Arial"/>
          <w:color w:val="auto"/>
          <w:szCs w:val="22"/>
        </w:rPr>
        <w:t xml:space="preserve">which consists of </w:t>
      </w:r>
      <w:r w:rsidR="002A7535" w:rsidRPr="00AA59B5">
        <w:rPr>
          <w:rFonts w:ascii="Arial" w:eastAsia="Times New Roman" w:hAnsi="Arial" w:cs="Arial"/>
          <w:color w:val="auto"/>
          <w:szCs w:val="22"/>
        </w:rPr>
        <w:t>projects considered in preparing this goal methodology.</w:t>
      </w:r>
      <w:r w:rsidRPr="00AA59B5">
        <w:rPr>
          <w:rFonts w:ascii="Arial" w:eastAsia="Times New Roman" w:hAnsi="Arial" w:cs="Arial"/>
          <w:color w:val="auto"/>
          <w:szCs w:val="22"/>
        </w:rPr>
        <w:t xml:space="preserve">  </w:t>
      </w:r>
      <w:r w:rsidR="002A7535" w:rsidRPr="00AA59B5">
        <w:rPr>
          <w:rFonts w:ascii="Arial" w:eastAsia="Times New Roman" w:hAnsi="Arial" w:cs="Arial"/>
          <w:color w:val="auto"/>
          <w:szCs w:val="22"/>
        </w:rPr>
        <w:t>The projects, which include Construction</w:t>
      </w:r>
      <w:r w:rsidR="00876D3A" w:rsidRPr="00AA59B5">
        <w:rPr>
          <w:rFonts w:ascii="Arial" w:eastAsia="Times New Roman" w:hAnsi="Arial" w:cs="Arial"/>
          <w:color w:val="auto"/>
          <w:szCs w:val="22"/>
        </w:rPr>
        <w:t>,</w:t>
      </w:r>
      <w:r w:rsidR="002A7535" w:rsidRPr="00AA59B5">
        <w:rPr>
          <w:rFonts w:ascii="Arial" w:eastAsia="Times New Roman" w:hAnsi="Arial" w:cs="Arial"/>
          <w:color w:val="auto"/>
          <w:szCs w:val="22"/>
        </w:rPr>
        <w:t xml:space="preserve"> Professional Services </w:t>
      </w:r>
      <w:r w:rsidR="00876D3A" w:rsidRPr="00AA59B5">
        <w:rPr>
          <w:rFonts w:ascii="Arial" w:eastAsia="Times New Roman" w:hAnsi="Arial" w:cs="Arial"/>
          <w:color w:val="auto"/>
          <w:szCs w:val="22"/>
        </w:rPr>
        <w:t xml:space="preserve">and Materials/Supplies </w:t>
      </w:r>
      <w:r w:rsidR="002A7535" w:rsidRPr="00AA59B5">
        <w:rPr>
          <w:rFonts w:ascii="Arial" w:eastAsia="Times New Roman" w:hAnsi="Arial" w:cs="Arial"/>
          <w:color w:val="auto"/>
          <w:szCs w:val="22"/>
        </w:rPr>
        <w:t xml:space="preserve">contracting opportunities, </w:t>
      </w:r>
      <w:r w:rsidR="00A61A1E" w:rsidRPr="00AA59B5">
        <w:rPr>
          <w:rFonts w:ascii="Arial" w:eastAsia="Times New Roman" w:hAnsi="Arial" w:cs="Arial"/>
          <w:color w:val="auto"/>
          <w:szCs w:val="22"/>
        </w:rPr>
        <w:t>are anticipated to be award</w:t>
      </w:r>
      <w:r w:rsidR="00AB0B90" w:rsidRPr="00AA59B5">
        <w:rPr>
          <w:rFonts w:ascii="Arial" w:eastAsia="Times New Roman" w:hAnsi="Arial" w:cs="Arial"/>
          <w:color w:val="auto"/>
          <w:szCs w:val="22"/>
        </w:rPr>
        <w:t>ed</w:t>
      </w:r>
      <w:r w:rsidR="00A61A1E" w:rsidRPr="00AA59B5">
        <w:rPr>
          <w:rFonts w:ascii="Arial" w:eastAsia="Times New Roman" w:hAnsi="Arial" w:cs="Arial"/>
          <w:color w:val="auto"/>
          <w:szCs w:val="22"/>
        </w:rPr>
        <w:t xml:space="preserve"> during th</w:t>
      </w:r>
      <w:r w:rsidR="00AB0B90" w:rsidRPr="00AA59B5">
        <w:rPr>
          <w:rFonts w:ascii="Arial" w:eastAsia="Times New Roman" w:hAnsi="Arial" w:cs="Arial"/>
          <w:color w:val="auto"/>
          <w:szCs w:val="22"/>
        </w:rPr>
        <w:t>e triennial</w:t>
      </w:r>
      <w:r w:rsidR="00A61A1E" w:rsidRPr="00AA59B5">
        <w:rPr>
          <w:rFonts w:ascii="Arial" w:eastAsia="Times New Roman" w:hAnsi="Arial" w:cs="Arial"/>
          <w:color w:val="auto"/>
          <w:szCs w:val="22"/>
        </w:rPr>
        <w:t xml:space="preserve"> period</w:t>
      </w:r>
      <w:r w:rsidR="002A7535" w:rsidRPr="00AA59B5">
        <w:rPr>
          <w:rFonts w:ascii="Arial" w:eastAsia="Times New Roman" w:hAnsi="Arial" w:cs="Arial"/>
          <w:color w:val="auto"/>
          <w:szCs w:val="22"/>
        </w:rPr>
        <w:t>:</w:t>
      </w:r>
      <w:r w:rsidR="0045585A" w:rsidRPr="00AA59B5">
        <w:rPr>
          <w:rFonts w:ascii="Arial" w:eastAsia="Times New Roman" w:hAnsi="Arial" w:cs="Arial"/>
          <w:color w:val="auto"/>
          <w:szCs w:val="22"/>
        </w:rPr>
        <w:t xml:space="preserve"> </w:t>
      </w:r>
    </w:p>
    <w:p w14:paraId="67BF4544" w14:textId="77777777" w:rsidR="003246A5" w:rsidRPr="00AA59B5" w:rsidRDefault="003246A5" w:rsidP="002A7535">
      <w:pPr>
        <w:autoSpaceDE w:val="0"/>
        <w:autoSpaceDN w:val="0"/>
        <w:adjustRightInd w:val="0"/>
        <w:spacing w:after="0" w:line="240" w:lineRule="auto"/>
        <w:jc w:val="both"/>
        <w:rPr>
          <w:rFonts w:ascii="Arial" w:eastAsia="Times New Roman" w:hAnsi="Arial" w:cs="Arial"/>
          <w:color w:val="FF0000"/>
          <w:szCs w:val="22"/>
        </w:rPr>
      </w:pPr>
    </w:p>
    <w:p w14:paraId="2FD135C5" w14:textId="77777777" w:rsidR="00CE1C2A" w:rsidRPr="00AA59B5" w:rsidRDefault="00CE1C2A" w:rsidP="002A7535">
      <w:pPr>
        <w:autoSpaceDE w:val="0"/>
        <w:autoSpaceDN w:val="0"/>
        <w:adjustRightInd w:val="0"/>
        <w:spacing w:after="0" w:line="240" w:lineRule="auto"/>
        <w:jc w:val="both"/>
        <w:rPr>
          <w:rFonts w:ascii="Arial" w:eastAsia="Times New Roman" w:hAnsi="Arial" w:cs="Arial"/>
          <w:color w:val="FF0000"/>
          <w:szCs w:val="22"/>
        </w:rPr>
      </w:pPr>
    </w:p>
    <w:p w14:paraId="080887E8" w14:textId="77777777" w:rsidR="00316306" w:rsidRPr="00AA59B5" w:rsidRDefault="00D012BA" w:rsidP="00B471A2">
      <w:pPr>
        <w:autoSpaceDE w:val="0"/>
        <w:autoSpaceDN w:val="0"/>
        <w:adjustRightInd w:val="0"/>
        <w:spacing w:after="0" w:line="240" w:lineRule="auto"/>
        <w:jc w:val="both"/>
        <w:rPr>
          <w:rFonts w:ascii="Arial" w:eastAsia="Times New Roman" w:hAnsi="Arial" w:cs="Arial"/>
          <w:b/>
          <w:color w:val="auto"/>
          <w:szCs w:val="22"/>
        </w:rPr>
      </w:pPr>
      <w:r w:rsidRPr="00AA59B5">
        <w:rPr>
          <w:rFonts w:ascii="Arial" w:eastAsia="Times New Roman" w:hAnsi="Arial" w:cs="Arial"/>
          <w:b/>
          <w:color w:val="auto"/>
          <w:szCs w:val="22"/>
        </w:rPr>
        <w:t>Table 1</w:t>
      </w:r>
    </w:p>
    <w:tbl>
      <w:tblPr>
        <w:tblStyle w:val="LightShading-Accent1"/>
        <w:tblW w:w="9360" w:type="dxa"/>
        <w:jc w:val="center"/>
        <w:tblLook w:val="04A0" w:firstRow="1" w:lastRow="0" w:firstColumn="1" w:lastColumn="0" w:noHBand="0" w:noVBand="1"/>
      </w:tblPr>
      <w:tblGrid>
        <w:gridCol w:w="4166"/>
        <w:gridCol w:w="1899"/>
        <w:gridCol w:w="1807"/>
        <w:gridCol w:w="1488"/>
      </w:tblGrid>
      <w:tr w:rsidR="009A4750" w:rsidRPr="00EE4356" w14:paraId="17355EE2" w14:textId="77777777" w:rsidTr="00DF1BAD">
        <w:trPr>
          <w:cnfStyle w:val="100000000000" w:firstRow="1" w:lastRow="0" w:firstColumn="0" w:lastColumn="0" w:oddVBand="0" w:evenVBand="0" w:oddHBand="0" w:evenHBand="0" w:firstRowFirstColumn="0" w:firstRowLastColumn="0" w:lastRowFirstColumn="0" w:lastRowLastColumn="0"/>
          <w:trHeight w:val="1078"/>
          <w:jc w:val="center"/>
        </w:trPr>
        <w:tc>
          <w:tcPr>
            <w:cnfStyle w:val="001000000000" w:firstRow="0" w:lastRow="0" w:firstColumn="1" w:lastColumn="0" w:oddVBand="0" w:evenVBand="0" w:oddHBand="0" w:evenHBand="0" w:firstRowFirstColumn="0" w:firstRowLastColumn="0" w:lastRowFirstColumn="0" w:lastRowLastColumn="0"/>
            <w:tcW w:w="4166" w:type="dxa"/>
            <w:shd w:val="clear" w:color="auto" w:fill="365F91" w:themeFill="accent1" w:themeFillShade="BF"/>
            <w:vAlign w:val="center"/>
          </w:tcPr>
          <w:p w14:paraId="4A5291BE" w14:textId="77777777" w:rsidR="009A4750" w:rsidRPr="00EE4356" w:rsidRDefault="009A4750" w:rsidP="00691C4B">
            <w:pPr>
              <w:spacing w:after="0" w:line="240" w:lineRule="auto"/>
              <w:jc w:val="center"/>
              <w:rPr>
                <w:rFonts w:ascii="Arial" w:eastAsia="Times New Roman" w:hAnsi="Arial" w:cs="Arial"/>
                <w:bCs w:val="0"/>
                <w:color w:val="FFFFFF" w:themeColor="background1"/>
                <w:szCs w:val="22"/>
              </w:rPr>
            </w:pPr>
            <w:bookmarkStart w:id="3" w:name="_Hlk65054322"/>
            <w:r w:rsidRPr="00EE4356">
              <w:rPr>
                <w:rFonts w:ascii="Arial" w:eastAsia="Times New Roman" w:hAnsi="Arial" w:cs="Arial"/>
                <w:bCs w:val="0"/>
                <w:color w:val="FFFFFF" w:themeColor="background1"/>
                <w:szCs w:val="22"/>
              </w:rPr>
              <w:t>PROJECT NAME</w:t>
            </w:r>
          </w:p>
        </w:tc>
        <w:tc>
          <w:tcPr>
            <w:tcW w:w="1899" w:type="dxa"/>
            <w:shd w:val="clear" w:color="auto" w:fill="365F91" w:themeFill="accent1" w:themeFillShade="BF"/>
            <w:vAlign w:val="center"/>
            <w:hideMark/>
          </w:tcPr>
          <w:p w14:paraId="5CAE0448" w14:textId="77777777" w:rsidR="009A4750" w:rsidRPr="00EE4356" w:rsidRDefault="009A4750" w:rsidP="00691C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Cs w:val="22"/>
              </w:rPr>
            </w:pPr>
            <w:r w:rsidRPr="00EE4356">
              <w:rPr>
                <w:rFonts w:ascii="Arial" w:eastAsia="Times New Roman" w:hAnsi="Arial" w:cs="Arial"/>
                <w:bCs w:val="0"/>
                <w:color w:val="FFFFFF" w:themeColor="background1"/>
                <w:szCs w:val="22"/>
              </w:rPr>
              <w:t>TOTAL ESTIMATED PROJECT COST</w:t>
            </w:r>
          </w:p>
        </w:tc>
        <w:tc>
          <w:tcPr>
            <w:tcW w:w="1807" w:type="dxa"/>
            <w:shd w:val="clear" w:color="auto" w:fill="365F91" w:themeFill="accent1" w:themeFillShade="BF"/>
            <w:vAlign w:val="center"/>
            <w:hideMark/>
          </w:tcPr>
          <w:p w14:paraId="1AE72B54" w14:textId="77777777" w:rsidR="009A4750" w:rsidRPr="00EE4356" w:rsidRDefault="009A4750" w:rsidP="00691C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Cs w:val="22"/>
              </w:rPr>
            </w:pPr>
            <w:r w:rsidRPr="00EE4356">
              <w:rPr>
                <w:rFonts w:ascii="Arial" w:eastAsia="Times New Roman" w:hAnsi="Arial" w:cs="Arial"/>
                <w:bCs w:val="0"/>
                <w:color w:val="FFFFFF" w:themeColor="background1"/>
                <w:szCs w:val="22"/>
              </w:rPr>
              <w:t>ESTIMATED FTA DOLLAR SHARE</w:t>
            </w:r>
          </w:p>
        </w:tc>
        <w:tc>
          <w:tcPr>
            <w:tcW w:w="1488" w:type="dxa"/>
            <w:shd w:val="clear" w:color="auto" w:fill="365F91" w:themeFill="accent1" w:themeFillShade="BF"/>
            <w:vAlign w:val="center"/>
            <w:hideMark/>
          </w:tcPr>
          <w:p w14:paraId="317601F2" w14:textId="77777777" w:rsidR="009A4750" w:rsidRPr="00EE4356" w:rsidRDefault="009A4750" w:rsidP="00691C4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Cs w:val="22"/>
              </w:rPr>
            </w:pPr>
            <w:r w:rsidRPr="00EE4356">
              <w:rPr>
                <w:rFonts w:ascii="Arial" w:eastAsia="Times New Roman" w:hAnsi="Arial" w:cs="Arial"/>
                <w:bCs w:val="0"/>
                <w:color w:val="FFFFFF" w:themeColor="background1"/>
                <w:szCs w:val="22"/>
              </w:rPr>
              <w:t>ESTIMATED FTA % SHARE</w:t>
            </w:r>
          </w:p>
        </w:tc>
      </w:tr>
      <w:tr w:rsidR="00827607" w:rsidRPr="00EE4356" w14:paraId="49DF8660" w14:textId="77777777" w:rsidTr="0083170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166" w:type="dxa"/>
          </w:tcPr>
          <w:p w14:paraId="7585BFE4" w14:textId="77777777" w:rsidR="00827607" w:rsidRPr="00EE4356" w:rsidRDefault="000B0BBC" w:rsidP="009A4750">
            <w:pPr>
              <w:spacing w:after="0" w:line="240" w:lineRule="auto"/>
              <w:rPr>
                <w:rFonts w:ascii="Arial" w:eastAsia="Times New Roman" w:hAnsi="Arial" w:cs="Arial"/>
                <w:b w:val="0"/>
                <w:color w:val="auto"/>
                <w:szCs w:val="22"/>
              </w:rPr>
            </w:pPr>
            <w:r w:rsidRPr="00EE4356">
              <w:rPr>
                <w:rFonts w:ascii="Arial" w:eastAsia="Times New Roman" w:hAnsi="Arial" w:cs="Arial"/>
                <w:b w:val="0"/>
                <w:color w:val="auto"/>
                <w:szCs w:val="22"/>
              </w:rPr>
              <w:t>Operating</w:t>
            </w:r>
            <w:r w:rsidR="00827607" w:rsidRPr="00EE4356">
              <w:rPr>
                <w:rFonts w:ascii="Arial" w:eastAsia="Times New Roman" w:hAnsi="Arial" w:cs="Arial"/>
                <w:b w:val="0"/>
                <w:color w:val="auto"/>
                <w:szCs w:val="22"/>
              </w:rPr>
              <w:t xml:space="preserve"> Assistance</w:t>
            </w:r>
          </w:p>
        </w:tc>
        <w:tc>
          <w:tcPr>
            <w:tcW w:w="1899" w:type="dxa"/>
          </w:tcPr>
          <w:p w14:paraId="271F8C16" w14:textId="3D3A3364" w:rsidR="00827607" w:rsidRPr="00EE4356" w:rsidRDefault="00D370C0" w:rsidP="000E767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sidRPr="00EE4356">
              <w:rPr>
                <w:rFonts w:ascii="Arial" w:eastAsia="Times New Roman" w:hAnsi="Arial" w:cs="Arial"/>
                <w:color w:val="auto"/>
                <w:szCs w:val="22"/>
              </w:rPr>
              <w:t>$</w:t>
            </w:r>
            <w:r w:rsidR="00DF1BAD">
              <w:rPr>
                <w:rFonts w:ascii="Arial" w:eastAsia="Times New Roman" w:hAnsi="Arial" w:cs="Arial"/>
                <w:color w:val="auto"/>
                <w:szCs w:val="22"/>
              </w:rPr>
              <w:t>53,742.294.00</w:t>
            </w:r>
          </w:p>
        </w:tc>
        <w:tc>
          <w:tcPr>
            <w:tcW w:w="1807" w:type="dxa"/>
          </w:tcPr>
          <w:p w14:paraId="004DDE05" w14:textId="1EF305BD" w:rsidR="00827607" w:rsidRPr="00EE4356" w:rsidRDefault="00DF1BAD" w:rsidP="00876D3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$26,871,147.00</w:t>
            </w:r>
          </w:p>
        </w:tc>
        <w:tc>
          <w:tcPr>
            <w:tcW w:w="1488" w:type="dxa"/>
          </w:tcPr>
          <w:p w14:paraId="464B17DE" w14:textId="77777777" w:rsidR="00827607" w:rsidRPr="00EE4356" w:rsidRDefault="00823FCF" w:rsidP="001D7725">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sidRPr="00EE4356">
              <w:rPr>
                <w:rFonts w:ascii="Arial" w:eastAsia="Times New Roman" w:hAnsi="Arial" w:cs="Arial"/>
                <w:color w:val="auto"/>
                <w:szCs w:val="22"/>
              </w:rPr>
              <w:t>50%</w:t>
            </w:r>
          </w:p>
        </w:tc>
      </w:tr>
      <w:tr w:rsidR="00827607" w:rsidRPr="00EE4356" w14:paraId="4BC3CB7C" w14:textId="77777777" w:rsidTr="00831701">
        <w:trPr>
          <w:trHeight w:val="270"/>
          <w:jc w:val="center"/>
        </w:trPr>
        <w:tc>
          <w:tcPr>
            <w:cnfStyle w:val="001000000000" w:firstRow="0" w:lastRow="0" w:firstColumn="1" w:lastColumn="0" w:oddVBand="0" w:evenVBand="0" w:oddHBand="0" w:evenHBand="0" w:firstRowFirstColumn="0" w:firstRowLastColumn="0" w:lastRowFirstColumn="0" w:lastRowLastColumn="0"/>
            <w:tcW w:w="4166" w:type="dxa"/>
          </w:tcPr>
          <w:p w14:paraId="1F32FA3A" w14:textId="4341EA79" w:rsidR="00827607" w:rsidRPr="00EE4356" w:rsidRDefault="00DF1BAD" w:rsidP="009A4750">
            <w:pPr>
              <w:spacing w:after="0" w:line="240" w:lineRule="auto"/>
              <w:rPr>
                <w:rFonts w:ascii="Arial" w:eastAsia="Times New Roman" w:hAnsi="Arial" w:cs="Arial"/>
                <w:b w:val="0"/>
                <w:color w:val="auto"/>
                <w:szCs w:val="22"/>
              </w:rPr>
            </w:pPr>
            <w:r>
              <w:rPr>
                <w:rFonts w:ascii="Arial" w:eastAsia="Times New Roman" w:hAnsi="Arial" w:cs="Arial"/>
                <w:b w:val="0"/>
                <w:color w:val="auto"/>
                <w:szCs w:val="22"/>
              </w:rPr>
              <w:t>Capital Lease</w:t>
            </w:r>
          </w:p>
        </w:tc>
        <w:tc>
          <w:tcPr>
            <w:tcW w:w="1899" w:type="dxa"/>
          </w:tcPr>
          <w:p w14:paraId="01B64563" w14:textId="64560450" w:rsidR="00827607" w:rsidRPr="00EE4356" w:rsidRDefault="00DF1BAD" w:rsidP="000E767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$6.536.350.00</w:t>
            </w:r>
          </w:p>
        </w:tc>
        <w:tc>
          <w:tcPr>
            <w:tcW w:w="1807" w:type="dxa"/>
          </w:tcPr>
          <w:p w14:paraId="489090ED" w14:textId="4CACD3FA" w:rsidR="00827607" w:rsidRPr="00EE4356" w:rsidRDefault="00DF1BAD" w:rsidP="00876D3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$5,229,080.00</w:t>
            </w:r>
          </w:p>
        </w:tc>
        <w:tc>
          <w:tcPr>
            <w:tcW w:w="1488" w:type="dxa"/>
          </w:tcPr>
          <w:p w14:paraId="6D14A326" w14:textId="77777777" w:rsidR="00827607" w:rsidRPr="00EE4356" w:rsidRDefault="00823FCF" w:rsidP="001D7725">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sidRPr="00EE4356">
              <w:rPr>
                <w:rFonts w:ascii="Arial" w:eastAsia="Times New Roman" w:hAnsi="Arial" w:cs="Arial"/>
                <w:color w:val="auto"/>
                <w:szCs w:val="22"/>
              </w:rPr>
              <w:t>80%</w:t>
            </w:r>
          </w:p>
        </w:tc>
      </w:tr>
      <w:tr w:rsidR="007127EB" w:rsidRPr="00EE4356" w14:paraId="5B720216" w14:textId="77777777" w:rsidTr="0083170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166" w:type="dxa"/>
          </w:tcPr>
          <w:p w14:paraId="3162366E" w14:textId="09E5BC35" w:rsidR="007127EB" w:rsidRPr="00EE4356" w:rsidRDefault="00DF1BAD" w:rsidP="009A4750">
            <w:pPr>
              <w:spacing w:after="0" w:line="240" w:lineRule="auto"/>
              <w:rPr>
                <w:rFonts w:ascii="Arial" w:eastAsia="Times New Roman" w:hAnsi="Arial" w:cs="Arial"/>
                <w:b w:val="0"/>
                <w:color w:val="auto"/>
                <w:szCs w:val="22"/>
              </w:rPr>
            </w:pPr>
            <w:r>
              <w:rPr>
                <w:rFonts w:ascii="Arial" w:eastAsia="Times New Roman" w:hAnsi="Arial" w:cs="Arial"/>
                <w:b w:val="0"/>
                <w:color w:val="auto"/>
                <w:szCs w:val="22"/>
              </w:rPr>
              <w:t>Shelters and Amenities</w:t>
            </w:r>
          </w:p>
        </w:tc>
        <w:tc>
          <w:tcPr>
            <w:tcW w:w="1899" w:type="dxa"/>
          </w:tcPr>
          <w:p w14:paraId="1FCEE065" w14:textId="4575858C" w:rsidR="007127EB" w:rsidRPr="00EE4356" w:rsidRDefault="00DF1BAD" w:rsidP="000E767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$255,000.00</w:t>
            </w:r>
          </w:p>
        </w:tc>
        <w:tc>
          <w:tcPr>
            <w:tcW w:w="1807" w:type="dxa"/>
          </w:tcPr>
          <w:p w14:paraId="5E8352A3" w14:textId="31CB1EC0" w:rsidR="007127EB" w:rsidRPr="00EE4356" w:rsidRDefault="00DF1BAD" w:rsidP="00876D3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$204,000.00</w:t>
            </w:r>
          </w:p>
        </w:tc>
        <w:tc>
          <w:tcPr>
            <w:tcW w:w="1488" w:type="dxa"/>
          </w:tcPr>
          <w:p w14:paraId="6F063026" w14:textId="77777777" w:rsidR="007127EB" w:rsidRPr="00EE4356" w:rsidRDefault="00071C17" w:rsidP="001D7725">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sidRPr="00EE4356">
              <w:rPr>
                <w:rFonts w:ascii="Arial" w:eastAsia="Times New Roman" w:hAnsi="Arial" w:cs="Arial"/>
                <w:color w:val="auto"/>
                <w:szCs w:val="22"/>
              </w:rPr>
              <w:t>80%</w:t>
            </w:r>
          </w:p>
        </w:tc>
      </w:tr>
      <w:tr w:rsidR="000B0BBC" w:rsidRPr="00EE4356" w14:paraId="02D06A16" w14:textId="77777777" w:rsidTr="00831701">
        <w:trPr>
          <w:trHeight w:val="270"/>
          <w:jc w:val="center"/>
        </w:trPr>
        <w:tc>
          <w:tcPr>
            <w:cnfStyle w:val="001000000000" w:firstRow="0" w:lastRow="0" w:firstColumn="1" w:lastColumn="0" w:oddVBand="0" w:evenVBand="0" w:oddHBand="0" w:evenHBand="0" w:firstRowFirstColumn="0" w:firstRowLastColumn="0" w:lastRowFirstColumn="0" w:lastRowLastColumn="0"/>
            <w:tcW w:w="4166" w:type="dxa"/>
          </w:tcPr>
          <w:p w14:paraId="3FC6EF91" w14:textId="4739B85F" w:rsidR="000B0BBC" w:rsidRPr="00EE4356" w:rsidRDefault="00DF1BAD" w:rsidP="009A4750">
            <w:pPr>
              <w:spacing w:after="0" w:line="240" w:lineRule="auto"/>
              <w:rPr>
                <w:rFonts w:ascii="Arial" w:eastAsia="Times New Roman" w:hAnsi="Arial" w:cs="Arial"/>
                <w:b w:val="0"/>
                <w:color w:val="auto"/>
                <w:szCs w:val="22"/>
              </w:rPr>
            </w:pPr>
            <w:r>
              <w:rPr>
                <w:rFonts w:ascii="Arial" w:eastAsia="Times New Roman" w:hAnsi="Arial" w:cs="Arial"/>
                <w:b w:val="0"/>
                <w:color w:val="auto"/>
                <w:szCs w:val="22"/>
              </w:rPr>
              <w:t>Garage Shop Equipment</w:t>
            </w:r>
          </w:p>
        </w:tc>
        <w:tc>
          <w:tcPr>
            <w:tcW w:w="1899" w:type="dxa"/>
          </w:tcPr>
          <w:p w14:paraId="4DE164E4" w14:textId="66F0FBC5" w:rsidR="000B0BBC" w:rsidRPr="00EE4356" w:rsidRDefault="00DF1BAD" w:rsidP="000E767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$150,000.00</w:t>
            </w:r>
          </w:p>
        </w:tc>
        <w:tc>
          <w:tcPr>
            <w:tcW w:w="1807" w:type="dxa"/>
          </w:tcPr>
          <w:p w14:paraId="5AE86926" w14:textId="06660FE2" w:rsidR="000B0BBC" w:rsidRPr="00EE4356" w:rsidRDefault="00DF1BAD" w:rsidP="00876D3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$120,000.00</w:t>
            </w:r>
          </w:p>
        </w:tc>
        <w:tc>
          <w:tcPr>
            <w:tcW w:w="1488" w:type="dxa"/>
          </w:tcPr>
          <w:p w14:paraId="2116CD58" w14:textId="77777777" w:rsidR="000B0BBC" w:rsidRPr="00EE4356" w:rsidRDefault="000B0BBC" w:rsidP="001D7725">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sidRPr="00EE4356">
              <w:rPr>
                <w:rFonts w:ascii="Arial" w:eastAsia="Times New Roman" w:hAnsi="Arial" w:cs="Arial"/>
                <w:color w:val="auto"/>
                <w:szCs w:val="22"/>
              </w:rPr>
              <w:t>80%</w:t>
            </w:r>
          </w:p>
        </w:tc>
      </w:tr>
      <w:tr w:rsidR="000B0BBC" w:rsidRPr="00EE4356" w14:paraId="7AC8AFD1" w14:textId="77777777" w:rsidTr="0083170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166" w:type="dxa"/>
          </w:tcPr>
          <w:p w14:paraId="10827B8D" w14:textId="66B4E852" w:rsidR="000B0BBC" w:rsidRPr="00EE4356" w:rsidRDefault="001C732A" w:rsidP="009A4750">
            <w:pPr>
              <w:spacing w:after="0" w:line="240" w:lineRule="auto"/>
              <w:rPr>
                <w:rFonts w:ascii="Arial" w:eastAsia="Times New Roman" w:hAnsi="Arial" w:cs="Arial"/>
                <w:b w:val="0"/>
                <w:color w:val="auto"/>
                <w:szCs w:val="22"/>
              </w:rPr>
            </w:pPr>
            <w:r>
              <w:rPr>
                <w:rFonts w:ascii="Arial" w:eastAsia="Times New Roman" w:hAnsi="Arial" w:cs="Arial"/>
                <w:b w:val="0"/>
                <w:color w:val="auto"/>
                <w:szCs w:val="22"/>
              </w:rPr>
              <w:t>Hydrogen Fueling Station</w:t>
            </w:r>
          </w:p>
        </w:tc>
        <w:tc>
          <w:tcPr>
            <w:tcW w:w="1899" w:type="dxa"/>
          </w:tcPr>
          <w:p w14:paraId="78CA947B" w14:textId="6C45292A" w:rsidR="004B3A28" w:rsidRPr="00EE4356" w:rsidRDefault="001C732A" w:rsidP="004B3A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$3,690,000.00</w:t>
            </w:r>
          </w:p>
        </w:tc>
        <w:tc>
          <w:tcPr>
            <w:tcW w:w="1807" w:type="dxa"/>
          </w:tcPr>
          <w:p w14:paraId="0EAF35BD" w14:textId="79C4D715" w:rsidR="000B0BBC" w:rsidRPr="00EE4356" w:rsidRDefault="001C732A" w:rsidP="00876D3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$3,690,000.00</w:t>
            </w:r>
          </w:p>
        </w:tc>
        <w:tc>
          <w:tcPr>
            <w:tcW w:w="1488" w:type="dxa"/>
          </w:tcPr>
          <w:p w14:paraId="72AD3B4B" w14:textId="1CB84777" w:rsidR="000B0BBC" w:rsidRPr="00EE4356" w:rsidRDefault="001C732A" w:rsidP="001D7725">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10</w:t>
            </w:r>
            <w:r w:rsidR="00E24DE6" w:rsidRPr="00EE4356">
              <w:rPr>
                <w:rFonts w:ascii="Arial" w:eastAsia="Times New Roman" w:hAnsi="Arial" w:cs="Arial"/>
                <w:color w:val="auto"/>
                <w:szCs w:val="22"/>
              </w:rPr>
              <w:t>0%</w:t>
            </w:r>
          </w:p>
        </w:tc>
      </w:tr>
      <w:tr w:rsidR="006D4F85" w:rsidRPr="00EE4356" w14:paraId="10434AEE" w14:textId="77777777" w:rsidTr="00831701">
        <w:trPr>
          <w:trHeight w:val="270"/>
          <w:jc w:val="center"/>
        </w:trPr>
        <w:tc>
          <w:tcPr>
            <w:cnfStyle w:val="001000000000" w:firstRow="0" w:lastRow="0" w:firstColumn="1" w:lastColumn="0" w:oddVBand="0" w:evenVBand="0" w:oddHBand="0" w:evenHBand="0" w:firstRowFirstColumn="0" w:firstRowLastColumn="0" w:lastRowFirstColumn="0" w:lastRowLastColumn="0"/>
            <w:tcW w:w="4166" w:type="dxa"/>
          </w:tcPr>
          <w:p w14:paraId="000DE3A2" w14:textId="34287E35" w:rsidR="006D4F85" w:rsidRPr="00EE4356" w:rsidRDefault="001C732A" w:rsidP="009A4750">
            <w:pPr>
              <w:spacing w:after="0" w:line="240" w:lineRule="auto"/>
              <w:rPr>
                <w:rFonts w:ascii="Arial" w:eastAsia="Times New Roman" w:hAnsi="Arial" w:cs="Arial"/>
                <w:b w:val="0"/>
                <w:color w:val="auto"/>
                <w:szCs w:val="22"/>
              </w:rPr>
            </w:pPr>
            <w:r>
              <w:rPr>
                <w:rFonts w:ascii="Arial" w:eastAsia="Times New Roman" w:hAnsi="Arial" w:cs="Arial"/>
                <w:b w:val="0"/>
                <w:color w:val="auto"/>
                <w:szCs w:val="22"/>
              </w:rPr>
              <w:t>Accounting Software</w:t>
            </w:r>
          </w:p>
        </w:tc>
        <w:tc>
          <w:tcPr>
            <w:tcW w:w="1899" w:type="dxa"/>
          </w:tcPr>
          <w:p w14:paraId="2FE27753" w14:textId="5353836A" w:rsidR="006D4F85" w:rsidRPr="00EE4356" w:rsidRDefault="001C732A" w:rsidP="004B3A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$400,000.00</w:t>
            </w:r>
          </w:p>
        </w:tc>
        <w:tc>
          <w:tcPr>
            <w:tcW w:w="1807" w:type="dxa"/>
          </w:tcPr>
          <w:p w14:paraId="1E086AD8" w14:textId="6A4F7141" w:rsidR="006D4F85" w:rsidRPr="00EE4356" w:rsidRDefault="001C732A" w:rsidP="00876D3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$320,000.00</w:t>
            </w:r>
          </w:p>
        </w:tc>
        <w:tc>
          <w:tcPr>
            <w:tcW w:w="1488" w:type="dxa"/>
          </w:tcPr>
          <w:p w14:paraId="43F7B0B8" w14:textId="77777777" w:rsidR="00E24DE6" w:rsidRPr="00EE4356" w:rsidRDefault="00E24DE6" w:rsidP="00E24DE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sidRPr="00EE4356">
              <w:rPr>
                <w:rFonts w:ascii="Arial" w:eastAsia="Times New Roman" w:hAnsi="Arial" w:cs="Arial"/>
                <w:color w:val="auto"/>
                <w:szCs w:val="22"/>
              </w:rPr>
              <w:t>80%</w:t>
            </w:r>
          </w:p>
        </w:tc>
      </w:tr>
      <w:tr w:rsidR="00E24DE6" w:rsidRPr="00EE4356" w14:paraId="4CC72267" w14:textId="77777777" w:rsidTr="0083170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166" w:type="dxa"/>
          </w:tcPr>
          <w:p w14:paraId="009E35E7" w14:textId="5B8B8546" w:rsidR="00E24DE6" w:rsidRPr="00EE4356" w:rsidRDefault="001C732A" w:rsidP="009A4750">
            <w:pPr>
              <w:spacing w:after="0" w:line="240" w:lineRule="auto"/>
              <w:rPr>
                <w:rFonts w:ascii="Arial" w:eastAsia="Times New Roman" w:hAnsi="Arial" w:cs="Arial"/>
                <w:b w:val="0"/>
                <w:color w:val="auto"/>
                <w:szCs w:val="22"/>
              </w:rPr>
            </w:pPr>
            <w:r>
              <w:rPr>
                <w:rFonts w:ascii="Arial" w:eastAsia="Times New Roman" w:hAnsi="Arial" w:cs="Arial"/>
                <w:b w:val="0"/>
                <w:color w:val="auto"/>
                <w:szCs w:val="22"/>
              </w:rPr>
              <w:t>Victorville Transfer Point</w:t>
            </w:r>
          </w:p>
        </w:tc>
        <w:tc>
          <w:tcPr>
            <w:tcW w:w="1899" w:type="dxa"/>
          </w:tcPr>
          <w:p w14:paraId="50867D30" w14:textId="4F76DE85" w:rsidR="00E24DE6" w:rsidRPr="00EE4356" w:rsidRDefault="001C732A" w:rsidP="004B3A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$3,127,000.00</w:t>
            </w:r>
          </w:p>
        </w:tc>
        <w:tc>
          <w:tcPr>
            <w:tcW w:w="1807" w:type="dxa"/>
          </w:tcPr>
          <w:p w14:paraId="527D82F6" w14:textId="542C215E" w:rsidR="00E24DE6" w:rsidRPr="00EE4356" w:rsidRDefault="001C732A" w:rsidP="00876D3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$1,500,000.00</w:t>
            </w:r>
          </w:p>
        </w:tc>
        <w:tc>
          <w:tcPr>
            <w:tcW w:w="1488" w:type="dxa"/>
          </w:tcPr>
          <w:p w14:paraId="34160B95" w14:textId="7E4F20F2" w:rsidR="00E24DE6" w:rsidRPr="00EE4356" w:rsidRDefault="001C732A" w:rsidP="00E24DE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48%</w:t>
            </w:r>
          </w:p>
        </w:tc>
      </w:tr>
      <w:tr w:rsidR="00E24DE6" w:rsidRPr="00AA59B5" w14:paraId="5F03DCCA" w14:textId="77777777" w:rsidTr="00831701">
        <w:trPr>
          <w:trHeight w:val="270"/>
          <w:jc w:val="center"/>
        </w:trPr>
        <w:tc>
          <w:tcPr>
            <w:cnfStyle w:val="001000000000" w:firstRow="0" w:lastRow="0" w:firstColumn="1" w:lastColumn="0" w:oddVBand="0" w:evenVBand="0" w:oddHBand="0" w:evenHBand="0" w:firstRowFirstColumn="0" w:firstRowLastColumn="0" w:lastRowFirstColumn="0" w:lastRowLastColumn="0"/>
            <w:tcW w:w="4166" w:type="dxa"/>
          </w:tcPr>
          <w:p w14:paraId="0E7FAA01" w14:textId="05CA9DA5" w:rsidR="00E24DE6" w:rsidRPr="00EE4356" w:rsidRDefault="001C732A" w:rsidP="009A4750">
            <w:pPr>
              <w:spacing w:after="0" w:line="240" w:lineRule="auto"/>
              <w:rPr>
                <w:rFonts w:ascii="Arial" w:eastAsia="Times New Roman" w:hAnsi="Arial" w:cs="Arial"/>
                <w:b w:val="0"/>
                <w:color w:val="auto"/>
                <w:szCs w:val="22"/>
              </w:rPr>
            </w:pPr>
            <w:r>
              <w:rPr>
                <w:rFonts w:ascii="Arial" w:eastAsia="Times New Roman" w:hAnsi="Arial" w:cs="Arial"/>
                <w:b w:val="0"/>
                <w:color w:val="auto"/>
                <w:szCs w:val="22"/>
              </w:rPr>
              <w:lastRenderedPageBreak/>
              <w:t>Shop Floor Resurface</w:t>
            </w:r>
          </w:p>
        </w:tc>
        <w:tc>
          <w:tcPr>
            <w:tcW w:w="1899" w:type="dxa"/>
          </w:tcPr>
          <w:p w14:paraId="52A9A102" w14:textId="2C84C24F" w:rsidR="00E24DE6" w:rsidRPr="00EE4356" w:rsidRDefault="001C732A" w:rsidP="004B3A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$250,000.00</w:t>
            </w:r>
          </w:p>
        </w:tc>
        <w:tc>
          <w:tcPr>
            <w:tcW w:w="1807" w:type="dxa"/>
          </w:tcPr>
          <w:p w14:paraId="5092AFDA" w14:textId="7DB6C8A1" w:rsidR="00E24DE6" w:rsidRPr="00EE4356" w:rsidRDefault="001C732A" w:rsidP="00876D3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$200,000.00</w:t>
            </w:r>
          </w:p>
        </w:tc>
        <w:tc>
          <w:tcPr>
            <w:tcW w:w="1488" w:type="dxa"/>
          </w:tcPr>
          <w:p w14:paraId="26712E24" w14:textId="77777777" w:rsidR="00E24DE6" w:rsidRDefault="00E24DE6" w:rsidP="00E24DE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sidRPr="00EE4356">
              <w:rPr>
                <w:rFonts w:ascii="Arial" w:eastAsia="Times New Roman" w:hAnsi="Arial" w:cs="Arial"/>
                <w:color w:val="auto"/>
                <w:szCs w:val="22"/>
              </w:rPr>
              <w:t>80%</w:t>
            </w:r>
          </w:p>
        </w:tc>
      </w:tr>
      <w:tr w:rsidR="001C732A" w:rsidRPr="00EE4356" w14:paraId="3447F046" w14:textId="77777777" w:rsidTr="008B476E">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166" w:type="dxa"/>
          </w:tcPr>
          <w:p w14:paraId="5938F6DD" w14:textId="64E23D79" w:rsidR="001C732A" w:rsidRPr="00EE4356" w:rsidRDefault="001C732A" w:rsidP="008B476E">
            <w:pPr>
              <w:spacing w:after="0" w:line="240" w:lineRule="auto"/>
              <w:rPr>
                <w:rFonts w:ascii="Arial" w:eastAsia="Times New Roman" w:hAnsi="Arial" w:cs="Arial"/>
                <w:b w:val="0"/>
                <w:color w:val="auto"/>
                <w:szCs w:val="22"/>
              </w:rPr>
            </w:pPr>
            <w:r>
              <w:rPr>
                <w:rFonts w:ascii="Arial" w:eastAsia="Times New Roman" w:hAnsi="Arial" w:cs="Arial"/>
                <w:b w:val="0"/>
                <w:color w:val="auto"/>
                <w:szCs w:val="22"/>
              </w:rPr>
              <w:t>Facility Interior Painting</w:t>
            </w:r>
          </w:p>
        </w:tc>
        <w:tc>
          <w:tcPr>
            <w:tcW w:w="1899" w:type="dxa"/>
          </w:tcPr>
          <w:p w14:paraId="79635E4A" w14:textId="4B4E188C" w:rsidR="001C732A" w:rsidRPr="00EE4356" w:rsidRDefault="001C732A" w:rsidP="008B47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$100,000.00</w:t>
            </w:r>
          </w:p>
        </w:tc>
        <w:tc>
          <w:tcPr>
            <w:tcW w:w="1807" w:type="dxa"/>
          </w:tcPr>
          <w:p w14:paraId="74252D33" w14:textId="71540BD3" w:rsidR="001C732A" w:rsidRPr="00EE4356" w:rsidRDefault="001C732A" w:rsidP="008B476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$80,000.00</w:t>
            </w:r>
          </w:p>
        </w:tc>
        <w:tc>
          <w:tcPr>
            <w:tcW w:w="1488" w:type="dxa"/>
          </w:tcPr>
          <w:p w14:paraId="5143E228" w14:textId="16ABDF68" w:rsidR="001C732A" w:rsidRPr="00EE4356" w:rsidRDefault="001C732A" w:rsidP="008B476E">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80%</w:t>
            </w:r>
          </w:p>
        </w:tc>
      </w:tr>
      <w:tr w:rsidR="001C732A" w:rsidRPr="00AA59B5" w14:paraId="4FF731A9" w14:textId="77777777" w:rsidTr="00831701">
        <w:trPr>
          <w:trHeight w:val="270"/>
          <w:jc w:val="center"/>
        </w:trPr>
        <w:tc>
          <w:tcPr>
            <w:cnfStyle w:val="001000000000" w:firstRow="0" w:lastRow="0" w:firstColumn="1" w:lastColumn="0" w:oddVBand="0" w:evenVBand="0" w:oddHBand="0" w:evenHBand="0" w:firstRowFirstColumn="0" w:firstRowLastColumn="0" w:lastRowFirstColumn="0" w:lastRowLastColumn="0"/>
            <w:tcW w:w="4166" w:type="dxa"/>
          </w:tcPr>
          <w:p w14:paraId="1F380E67" w14:textId="125EADE6" w:rsidR="001C732A" w:rsidRDefault="001C732A" w:rsidP="009A4750">
            <w:pPr>
              <w:spacing w:after="0" w:line="240" w:lineRule="auto"/>
              <w:rPr>
                <w:rFonts w:ascii="Arial" w:eastAsia="Times New Roman" w:hAnsi="Arial" w:cs="Arial"/>
                <w:b w:val="0"/>
                <w:color w:val="auto"/>
                <w:szCs w:val="22"/>
              </w:rPr>
            </w:pPr>
            <w:r>
              <w:rPr>
                <w:rFonts w:ascii="Arial" w:eastAsia="Times New Roman" w:hAnsi="Arial" w:cs="Arial"/>
                <w:b w:val="0"/>
                <w:color w:val="auto"/>
                <w:szCs w:val="22"/>
              </w:rPr>
              <w:t>Facility Carpet &amp; Flooring</w:t>
            </w:r>
          </w:p>
        </w:tc>
        <w:tc>
          <w:tcPr>
            <w:tcW w:w="1899" w:type="dxa"/>
          </w:tcPr>
          <w:p w14:paraId="448D5704" w14:textId="742ED217" w:rsidR="001C732A" w:rsidRDefault="001C732A" w:rsidP="004B3A2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$160,000.00</w:t>
            </w:r>
          </w:p>
        </w:tc>
        <w:tc>
          <w:tcPr>
            <w:tcW w:w="1807" w:type="dxa"/>
          </w:tcPr>
          <w:p w14:paraId="7D5006DF" w14:textId="2E30C758" w:rsidR="001C732A" w:rsidRDefault="001C732A" w:rsidP="00876D3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$128,000.00</w:t>
            </w:r>
          </w:p>
        </w:tc>
        <w:tc>
          <w:tcPr>
            <w:tcW w:w="1488" w:type="dxa"/>
          </w:tcPr>
          <w:p w14:paraId="022491BA" w14:textId="3ABE4DB9" w:rsidR="001C732A" w:rsidRPr="00EE4356" w:rsidRDefault="001C732A" w:rsidP="00E24DE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80%</w:t>
            </w:r>
          </w:p>
        </w:tc>
      </w:tr>
      <w:tr w:rsidR="001C732A" w:rsidRPr="00AA59B5" w14:paraId="76F9D166" w14:textId="77777777" w:rsidTr="0083170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166" w:type="dxa"/>
          </w:tcPr>
          <w:p w14:paraId="613E4B61" w14:textId="774E83C2" w:rsidR="001C732A" w:rsidRDefault="001C732A" w:rsidP="009A4750">
            <w:pPr>
              <w:spacing w:after="0" w:line="240" w:lineRule="auto"/>
              <w:rPr>
                <w:rFonts w:ascii="Arial" w:eastAsia="Times New Roman" w:hAnsi="Arial" w:cs="Arial"/>
                <w:b w:val="0"/>
                <w:color w:val="auto"/>
                <w:szCs w:val="22"/>
              </w:rPr>
            </w:pPr>
            <w:r>
              <w:rPr>
                <w:rFonts w:ascii="Arial" w:eastAsia="Times New Roman" w:hAnsi="Arial" w:cs="Arial"/>
                <w:b w:val="0"/>
                <w:color w:val="auto"/>
                <w:szCs w:val="22"/>
              </w:rPr>
              <w:t>Landscaping/Grounds</w:t>
            </w:r>
          </w:p>
        </w:tc>
        <w:tc>
          <w:tcPr>
            <w:tcW w:w="1899" w:type="dxa"/>
          </w:tcPr>
          <w:p w14:paraId="2DDEB808" w14:textId="6D8FC8CA" w:rsidR="001C732A" w:rsidRDefault="001C732A" w:rsidP="004B3A2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$550,000.00</w:t>
            </w:r>
          </w:p>
        </w:tc>
        <w:tc>
          <w:tcPr>
            <w:tcW w:w="1807" w:type="dxa"/>
          </w:tcPr>
          <w:p w14:paraId="5446E50B" w14:textId="59E2DB3B" w:rsidR="001C732A" w:rsidRDefault="001C732A" w:rsidP="00876D3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$440,000.00</w:t>
            </w:r>
          </w:p>
        </w:tc>
        <w:tc>
          <w:tcPr>
            <w:tcW w:w="1488" w:type="dxa"/>
          </w:tcPr>
          <w:p w14:paraId="3ECDC48B" w14:textId="59FDF7CC" w:rsidR="001C732A" w:rsidRDefault="001C732A" w:rsidP="00E24DE6">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80%</w:t>
            </w:r>
          </w:p>
        </w:tc>
      </w:tr>
      <w:bookmarkEnd w:id="3"/>
    </w:tbl>
    <w:p w14:paraId="323A16B0" w14:textId="77777777" w:rsidR="007C43CC" w:rsidRPr="00AA59B5" w:rsidRDefault="007C43CC" w:rsidP="003174FF">
      <w:pPr>
        <w:autoSpaceDE w:val="0"/>
        <w:autoSpaceDN w:val="0"/>
        <w:adjustRightInd w:val="0"/>
        <w:spacing w:after="0" w:line="240" w:lineRule="auto"/>
        <w:jc w:val="both"/>
        <w:rPr>
          <w:rFonts w:ascii="Arial" w:eastAsia="Times New Roman" w:hAnsi="Arial" w:cs="Arial"/>
          <w:i/>
          <w:color w:val="auto"/>
          <w:szCs w:val="22"/>
        </w:rPr>
      </w:pPr>
    </w:p>
    <w:p w14:paraId="79852797" w14:textId="0E052710" w:rsidR="00F12958" w:rsidRPr="00AA59B5" w:rsidRDefault="00F12958" w:rsidP="00F12958">
      <w:pPr>
        <w:autoSpaceDE w:val="0"/>
        <w:autoSpaceDN w:val="0"/>
        <w:adjustRightInd w:val="0"/>
        <w:spacing w:after="0" w:line="240" w:lineRule="auto"/>
        <w:jc w:val="both"/>
        <w:rPr>
          <w:rFonts w:ascii="Arial" w:eastAsia="Times New Roman" w:hAnsi="Arial" w:cs="Arial"/>
          <w:color w:val="auto"/>
          <w:szCs w:val="22"/>
        </w:rPr>
      </w:pPr>
      <w:r w:rsidRPr="00AA59B5">
        <w:rPr>
          <w:rFonts w:ascii="Arial" w:eastAsia="Times New Roman" w:hAnsi="Arial" w:cs="Arial"/>
          <w:color w:val="auto"/>
          <w:szCs w:val="22"/>
        </w:rPr>
        <w:t>Table 2 provides a summary of the categories of work with estimated cost breakdown for each. Categories of work are groups utilizing comparable North American Industry Classification System (NAICS) codes for purposes of weighting the categories of work based on the engineer’s estimates.</w:t>
      </w:r>
      <w:r w:rsidR="00EF183D">
        <w:rPr>
          <w:rFonts w:ascii="Arial" w:eastAsia="Times New Roman" w:hAnsi="Arial" w:cs="Arial"/>
          <w:color w:val="auto"/>
          <w:szCs w:val="22"/>
        </w:rPr>
        <w:t xml:space="preserve"> </w:t>
      </w:r>
    </w:p>
    <w:p w14:paraId="044CBAE7" w14:textId="77777777" w:rsidR="00F12958" w:rsidRPr="00AA59B5" w:rsidRDefault="00F12958" w:rsidP="00F12958">
      <w:pPr>
        <w:autoSpaceDE w:val="0"/>
        <w:autoSpaceDN w:val="0"/>
        <w:adjustRightInd w:val="0"/>
        <w:spacing w:after="0" w:line="240" w:lineRule="auto"/>
        <w:jc w:val="both"/>
        <w:rPr>
          <w:rFonts w:ascii="Arial" w:eastAsia="Times New Roman" w:hAnsi="Arial" w:cs="Arial"/>
          <w:color w:val="auto"/>
          <w:szCs w:val="22"/>
        </w:rPr>
      </w:pPr>
    </w:p>
    <w:p w14:paraId="0EAAEAE4" w14:textId="77777777" w:rsidR="00F12958" w:rsidRPr="00AA59B5" w:rsidRDefault="00F12958" w:rsidP="00F12958">
      <w:pPr>
        <w:autoSpaceDE w:val="0"/>
        <w:autoSpaceDN w:val="0"/>
        <w:adjustRightInd w:val="0"/>
        <w:spacing w:after="0" w:line="240" w:lineRule="auto"/>
        <w:jc w:val="both"/>
        <w:rPr>
          <w:rFonts w:ascii="Arial" w:eastAsia="Times New Roman" w:hAnsi="Arial" w:cs="Arial"/>
          <w:b/>
          <w:color w:val="auto"/>
          <w:szCs w:val="22"/>
        </w:rPr>
      </w:pPr>
      <w:r w:rsidRPr="00AA59B5">
        <w:rPr>
          <w:rFonts w:ascii="Arial" w:eastAsia="Times New Roman" w:hAnsi="Arial" w:cs="Arial"/>
          <w:b/>
          <w:color w:val="auto"/>
          <w:szCs w:val="22"/>
        </w:rPr>
        <w:t>Table 2:</w:t>
      </w:r>
    </w:p>
    <w:tbl>
      <w:tblPr>
        <w:tblStyle w:val="LightShading-Accent1"/>
        <w:tblW w:w="10312" w:type="dxa"/>
        <w:tblInd w:w="-342" w:type="dxa"/>
        <w:tblLook w:val="04A0" w:firstRow="1" w:lastRow="0" w:firstColumn="1" w:lastColumn="0" w:noHBand="0" w:noVBand="1"/>
      </w:tblPr>
      <w:tblGrid>
        <w:gridCol w:w="5688"/>
        <w:gridCol w:w="999"/>
        <w:gridCol w:w="1916"/>
        <w:gridCol w:w="1709"/>
      </w:tblGrid>
      <w:tr w:rsidR="00AD21F8" w:rsidRPr="00EE4356" w14:paraId="6C26C826" w14:textId="77777777" w:rsidTr="00E853F9">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688" w:type="dxa"/>
            <w:shd w:val="clear" w:color="auto" w:fill="365F91" w:themeFill="accent1" w:themeFillShade="BF"/>
            <w:noWrap/>
            <w:vAlign w:val="center"/>
            <w:hideMark/>
          </w:tcPr>
          <w:p w14:paraId="4E01DE6E" w14:textId="77777777" w:rsidR="00AD21F8" w:rsidRPr="001C732A" w:rsidRDefault="00AD21F8" w:rsidP="00AD21F8">
            <w:pPr>
              <w:spacing w:after="0" w:line="240" w:lineRule="auto"/>
              <w:jc w:val="center"/>
              <w:rPr>
                <w:rFonts w:ascii="Arial" w:eastAsia="Times New Roman" w:hAnsi="Arial" w:cs="Arial"/>
                <w:bCs w:val="0"/>
                <w:color w:val="FFFFFF" w:themeColor="background1"/>
                <w:szCs w:val="22"/>
              </w:rPr>
            </w:pPr>
            <w:r w:rsidRPr="001C732A">
              <w:rPr>
                <w:rFonts w:ascii="Arial" w:eastAsia="Times New Roman" w:hAnsi="Arial" w:cs="Arial"/>
                <w:bCs w:val="0"/>
                <w:color w:val="FFFFFF" w:themeColor="background1"/>
                <w:szCs w:val="22"/>
              </w:rPr>
              <w:t>CATEGORY OF WORK</w:t>
            </w:r>
          </w:p>
        </w:tc>
        <w:tc>
          <w:tcPr>
            <w:tcW w:w="999" w:type="dxa"/>
            <w:shd w:val="clear" w:color="auto" w:fill="365F91" w:themeFill="accent1" w:themeFillShade="BF"/>
            <w:vAlign w:val="center"/>
            <w:hideMark/>
          </w:tcPr>
          <w:p w14:paraId="38BF053E" w14:textId="77777777" w:rsidR="00AD21F8" w:rsidRPr="001C732A" w:rsidRDefault="00AD21F8" w:rsidP="00AD21F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Cs w:val="22"/>
              </w:rPr>
            </w:pPr>
            <w:r w:rsidRPr="001C732A">
              <w:rPr>
                <w:rFonts w:ascii="Arial" w:eastAsia="Times New Roman" w:hAnsi="Arial" w:cs="Arial"/>
                <w:bCs w:val="0"/>
                <w:color w:val="FFFFFF" w:themeColor="background1"/>
                <w:szCs w:val="22"/>
              </w:rPr>
              <w:t>NAICS CODES</w:t>
            </w:r>
          </w:p>
        </w:tc>
        <w:tc>
          <w:tcPr>
            <w:tcW w:w="1916" w:type="dxa"/>
            <w:shd w:val="clear" w:color="auto" w:fill="365F91" w:themeFill="accent1" w:themeFillShade="BF"/>
            <w:vAlign w:val="center"/>
            <w:hideMark/>
          </w:tcPr>
          <w:p w14:paraId="1338E8DA" w14:textId="77777777" w:rsidR="00AD21F8" w:rsidRPr="001C732A" w:rsidRDefault="00AD21F8" w:rsidP="00AD21F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Cs w:val="22"/>
              </w:rPr>
            </w:pPr>
            <w:r w:rsidRPr="001C732A">
              <w:rPr>
                <w:rFonts w:ascii="Arial" w:eastAsia="Times New Roman" w:hAnsi="Arial" w:cs="Arial"/>
                <w:bCs w:val="0"/>
                <w:color w:val="FFFFFF" w:themeColor="background1"/>
                <w:szCs w:val="22"/>
              </w:rPr>
              <w:t>ESTIMATED FTA DOLLARS BY NAICS</w:t>
            </w:r>
          </w:p>
        </w:tc>
        <w:tc>
          <w:tcPr>
            <w:tcW w:w="1709" w:type="dxa"/>
            <w:shd w:val="clear" w:color="auto" w:fill="365F91" w:themeFill="accent1" w:themeFillShade="BF"/>
            <w:vAlign w:val="center"/>
            <w:hideMark/>
          </w:tcPr>
          <w:p w14:paraId="0949B80F" w14:textId="77777777" w:rsidR="00AD21F8" w:rsidRPr="001C732A" w:rsidRDefault="00AD21F8" w:rsidP="00AD21F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Cs w:val="22"/>
              </w:rPr>
            </w:pPr>
            <w:r w:rsidRPr="001C732A">
              <w:rPr>
                <w:rFonts w:ascii="Arial" w:eastAsia="Times New Roman" w:hAnsi="Arial" w:cs="Arial"/>
                <w:bCs w:val="0"/>
                <w:color w:val="FFFFFF" w:themeColor="background1"/>
                <w:szCs w:val="22"/>
              </w:rPr>
              <w:t>ESTIMATED FTA % BY NAICS</w:t>
            </w:r>
          </w:p>
        </w:tc>
      </w:tr>
      <w:tr w:rsidR="00823FCF" w:rsidRPr="00EE4356" w14:paraId="20E68315" w14:textId="77777777" w:rsidTr="00E853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8" w:type="dxa"/>
            <w:noWrap/>
            <w:vAlign w:val="center"/>
          </w:tcPr>
          <w:p w14:paraId="26D95C8E" w14:textId="404193B4" w:rsidR="00F32FBB" w:rsidRPr="00351B3D" w:rsidRDefault="00823FCF" w:rsidP="00840A2C">
            <w:pPr>
              <w:spacing w:after="0" w:line="240" w:lineRule="auto"/>
              <w:rPr>
                <w:rFonts w:ascii="Arial" w:hAnsi="Arial" w:cs="Arial"/>
                <w:bCs w:val="0"/>
                <w:szCs w:val="22"/>
              </w:rPr>
            </w:pPr>
            <w:bookmarkStart w:id="4" w:name="_Hlk515012538"/>
            <w:r w:rsidRPr="001C732A">
              <w:rPr>
                <w:rFonts w:ascii="Arial" w:hAnsi="Arial" w:cs="Arial"/>
                <w:b w:val="0"/>
                <w:szCs w:val="22"/>
              </w:rPr>
              <w:t>Bus and Other Motor Vehicle Transit System</w:t>
            </w:r>
            <w:r w:rsidR="00840A2C" w:rsidRPr="001C732A">
              <w:rPr>
                <w:rFonts w:ascii="Arial" w:hAnsi="Arial" w:cs="Arial"/>
                <w:b w:val="0"/>
                <w:szCs w:val="22"/>
              </w:rPr>
              <w:t>s</w:t>
            </w:r>
          </w:p>
        </w:tc>
        <w:tc>
          <w:tcPr>
            <w:tcW w:w="999" w:type="dxa"/>
            <w:noWrap/>
            <w:vAlign w:val="center"/>
          </w:tcPr>
          <w:p w14:paraId="7BC08C13" w14:textId="58977273" w:rsidR="00823FCF" w:rsidRPr="001C732A" w:rsidRDefault="00823FCF" w:rsidP="00840A2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1C732A">
              <w:rPr>
                <w:rFonts w:ascii="Arial" w:hAnsi="Arial" w:cs="Arial"/>
                <w:szCs w:val="22"/>
              </w:rPr>
              <w:t>485113</w:t>
            </w:r>
          </w:p>
        </w:tc>
        <w:tc>
          <w:tcPr>
            <w:tcW w:w="1916" w:type="dxa"/>
            <w:noWrap/>
            <w:vAlign w:val="bottom"/>
          </w:tcPr>
          <w:p w14:paraId="2EF5CA05" w14:textId="77777777" w:rsidR="00351B3D" w:rsidRDefault="00351B3D" w:rsidP="00840A2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p>
          <w:p w14:paraId="2BAD4E42" w14:textId="576DEBA4" w:rsidR="00823FCF" w:rsidRDefault="001C732A" w:rsidP="00840A2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$26,871,147.00</w:t>
            </w:r>
          </w:p>
          <w:p w14:paraId="24CAA299" w14:textId="0EAA05CD" w:rsidR="00F32FBB" w:rsidRPr="001C732A" w:rsidRDefault="00F32FBB" w:rsidP="00351B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c>
          <w:tcPr>
            <w:tcW w:w="1709" w:type="dxa"/>
            <w:noWrap/>
            <w:vAlign w:val="center"/>
          </w:tcPr>
          <w:p w14:paraId="0CCC9E6D" w14:textId="77777777" w:rsidR="00823FCF" w:rsidRPr="001C732A" w:rsidRDefault="00920BB2" w:rsidP="00351B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1C732A">
              <w:rPr>
                <w:rFonts w:ascii="Arial" w:hAnsi="Arial" w:cs="Arial"/>
                <w:szCs w:val="22"/>
              </w:rPr>
              <w:t>50%</w:t>
            </w:r>
          </w:p>
        </w:tc>
      </w:tr>
      <w:tr w:rsidR="00F17750" w:rsidRPr="00EE4356" w14:paraId="60D4859D" w14:textId="77777777" w:rsidTr="00840A2C">
        <w:trPr>
          <w:trHeight w:val="333"/>
        </w:trPr>
        <w:tc>
          <w:tcPr>
            <w:cnfStyle w:val="001000000000" w:firstRow="0" w:lastRow="0" w:firstColumn="1" w:lastColumn="0" w:oddVBand="0" w:evenVBand="0" w:oddHBand="0" w:evenHBand="0" w:firstRowFirstColumn="0" w:firstRowLastColumn="0" w:lastRowFirstColumn="0" w:lastRowLastColumn="0"/>
            <w:tcW w:w="5688" w:type="dxa"/>
            <w:noWrap/>
            <w:vAlign w:val="center"/>
          </w:tcPr>
          <w:p w14:paraId="65D6BAC8" w14:textId="77777777" w:rsidR="00F32FBB" w:rsidRDefault="00F32FBB" w:rsidP="00840A2C">
            <w:pPr>
              <w:spacing w:after="0" w:line="240" w:lineRule="auto"/>
              <w:rPr>
                <w:rFonts w:ascii="Arial" w:hAnsi="Arial" w:cs="Arial"/>
                <w:bCs w:val="0"/>
                <w:szCs w:val="22"/>
              </w:rPr>
            </w:pPr>
          </w:p>
          <w:p w14:paraId="17CFAD4B" w14:textId="61B0A4A9" w:rsidR="00F17750" w:rsidRDefault="000D2F27" w:rsidP="00840A2C">
            <w:pPr>
              <w:spacing w:after="0" w:line="240" w:lineRule="auto"/>
              <w:rPr>
                <w:rFonts w:ascii="Arial" w:hAnsi="Arial" w:cs="Arial"/>
                <w:bCs w:val="0"/>
                <w:szCs w:val="22"/>
              </w:rPr>
            </w:pPr>
            <w:r>
              <w:rPr>
                <w:rFonts w:ascii="Arial" w:hAnsi="Arial" w:cs="Arial"/>
                <w:b w:val="0"/>
                <w:szCs w:val="22"/>
              </w:rPr>
              <w:t xml:space="preserve">Lessors of Nonresidential Buildings (Except </w:t>
            </w:r>
            <w:r w:rsidR="005F5557">
              <w:rPr>
                <w:rFonts w:ascii="Arial" w:hAnsi="Arial" w:cs="Arial"/>
                <w:b w:val="0"/>
                <w:szCs w:val="22"/>
              </w:rPr>
              <w:t>Mini warehouses</w:t>
            </w:r>
            <w:r>
              <w:rPr>
                <w:rFonts w:ascii="Arial" w:hAnsi="Arial" w:cs="Arial"/>
                <w:b w:val="0"/>
                <w:szCs w:val="22"/>
              </w:rPr>
              <w:t>)</w:t>
            </w:r>
          </w:p>
          <w:p w14:paraId="463F7B0B" w14:textId="79C864CB" w:rsidR="00F32FBB" w:rsidRPr="001C732A" w:rsidRDefault="00F32FBB" w:rsidP="00840A2C">
            <w:pPr>
              <w:spacing w:after="0" w:line="240" w:lineRule="auto"/>
              <w:rPr>
                <w:rFonts w:ascii="Arial" w:hAnsi="Arial" w:cs="Arial"/>
                <w:b w:val="0"/>
                <w:szCs w:val="22"/>
              </w:rPr>
            </w:pPr>
          </w:p>
        </w:tc>
        <w:tc>
          <w:tcPr>
            <w:tcW w:w="999" w:type="dxa"/>
            <w:noWrap/>
            <w:vAlign w:val="center"/>
          </w:tcPr>
          <w:p w14:paraId="465D4BEE" w14:textId="77777777" w:rsidR="005F5557" w:rsidRDefault="005F5557" w:rsidP="00840A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0C603A9A" w14:textId="6805ECE0" w:rsidR="00F17750" w:rsidRPr="001C732A" w:rsidRDefault="000D2F27" w:rsidP="00840A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531120</w:t>
            </w:r>
          </w:p>
        </w:tc>
        <w:tc>
          <w:tcPr>
            <w:tcW w:w="1916" w:type="dxa"/>
            <w:noWrap/>
            <w:vAlign w:val="bottom"/>
          </w:tcPr>
          <w:p w14:paraId="1B7E6AA3" w14:textId="1CD9BBCA" w:rsidR="00F17750" w:rsidRDefault="000D2F27" w:rsidP="005F12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$5,229,080.00</w:t>
            </w:r>
          </w:p>
          <w:p w14:paraId="62B4E51C" w14:textId="1537DF4E" w:rsidR="00F32FBB" w:rsidRPr="001C732A" w:rsidRDefault="00F32FBB" w:rsidP="00F32FB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709" w:type="dxa"/>
            <w:noWrap/>
            <w:vAlign w:val="center"/>
          </w:tcPr>
          <w:p w14:paraId="389DE48C" w14:textId="77777777" w:rsidR="006114F5" w:rsidRDefault="006114F5" w:rsidP="00840A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50C641BB" w14:textId="2B2153F0" w:rsidR="00461327" w:rsidRPr="001C732A" w:rsidRDefault="00920BB2" w:rsidP="00840A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1C732A">
              <w:rPr>
                <w:rFonts w:ascii="Arial" w:hAnsi="Arial" w:cs="Arial"/>
                <w:szCs w:val="22"/>
              </w:rPr>
              <w:t>80%</w:t>
            </w:r>
          </w:p>
        </w:tc>
      </w:tr>
      <w:bookmarkEnd w:id="4"/>
      <w:tr w:rsidR="006000B4" w:rsidRPr="00EE4356" w14:paraId="016BB746" w14:textId="77777777" w:rsidTr="008B47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8" w:type="dxa"/>
            <w:noWrap/>
            <w:vAlign w:val="center"/>
          </w:tcPr>
          <w:p w14:paraId="40AF5B69" w14:textId="77777777" w:rsidR="00F32FBB" w:rsidRDefault="00F32FBB" w:rsidP="00840A2C">
            <w:pPr>
              <w:spacing w:after="0" w:line="240" w:lineRule="auto"/>
              <w:rPr>
                <w:rFonts w:ascii="Arial" w:hAnsi="Arial" w:cs="Arial"/>
                <w:bCs w:val="0"/>
                <w:szCs w:val="22"/>
              </w:rPr>
            </w:pPr>
          </w:p>
          <w:p w14:paraId="574B2C52" w14:textId="77777777" w:rsidR="006000B4" w:rsidRDefault="006114F5" w:rsidP="00840A2C">
            <w:pPr>
              <w:spacing w:after="0" w:line="240" w:lineRule="auto"/>
              <w:rPr>
                <w:rFonts w:ascii="Arial" w:hAnsi="Arial" w:cs="Arial"/>
                <w:bCs w:val="0"/>
                <w:szCs w:val="22"/>
              </w:rPr>
            </w:pPr>
            <w:r>
              <w:rPr>
                <w:rFonts w:ascii="Arial" w:hAnsi="Arial" w:cs="Arial"/>
                <w:b w:val="0"/>
                <w:szCs w:val="22"/>
              </w:rPr>
              <w:t>Bus Shelter Construction</w:t>
            </w:r>
          </w:p>
          <w:p w14:paraId="5416BA57" w14:textId="2252A330" w:rsidR="00F32FBB" w:rsidRPr="001C732A" w:rsidRDefault="00F32FBB" w:rsidP="00840A2C">
            <w:pPr>
              <w:spacing w:after="0" w:line="240" w:lineRule="auto"/>
              <w:rPr>
                <w:rFonts w:ascii="Arial" w:hAnsi="Arial" w:cs="Arial"/>
                <w:b w:val="0"/>
                <w:szCs w:val="22"/>
              </w:rPr>
            </w:pPr>
          </w:p>
        </w:tc>
        <w:tc>
          <w:tcPr>
            <w:tcW w:w="999" w:type="dxa"/>
            <w:noWrap/>
            <w:vAlign w:val="center"/>
          </w:tcPr>
          <w:p w14:paraId="06F78170" w14:textId="77777777" w:rsidR="006000B4" w:rsidRPr="001C732A" w:rsidRDefault="006000B4" w:rsidP="00840A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1C732A">
              <w:rPr>
                <w:rFonts w:ascii="Arial" w:hAnsi="Arial" w:cs="Arial"/>
                <w:szCs w:val="22"/>
              </w:rPr>
              <w:t>236220</w:t>
            </w:r>
          </w:p>
        </w:tc>
        <w:tc>
          <w:tcPr>
            <w:tcW w:w="1916" w:type="dxa"/>
            <w:noWrap/>
            <w:vAlign w:val="bottom"/>
          </w:tcPr>
          <w:p w14:paraId="0F3BCFA9" w14:textId="77777777" w:rsidR="006000B4" w:rsidRDefault="006114F5" w:rsidP="006000B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w:t>
            </w:r>
            <w:r w:rsidR="00F32FBB">
              <w:rPr>
                <w:rFonts w:ascii="Arial" w:hAnsi="Arial" w:cs="Arial"/>
                <w:szCs w:val="22"/>
              </w:rPr>
              <w:t>204,000.00</w:t>
            </w:r>
          </w:p>
          <w:p w14:paraId="602D5364" w14:textId="79F0355B" w:rsidR="00F32FBB" w:rsidRPr="001C732A" w:rsidRDefault="00F32FBB" w:rsidP="006000B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c>
          <w:tcPr>
            <w:tcW w:w="1709" w:type="dxa"/>
            <w:noWrap/>
            <w:vAlign w:val="center"/>
          </w:tcPr>
          <w:p w14:paraId="45E51BE3" w14:textId="77777777" w:rsidR="006000B4" w:rsidRPr="001C732A" w:rsidRDefault="00F3031F" w:rsidP="006000B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1C732A">
              <w:rPr>
                <w:rFonts w:ascii="Arial" w:hAnsi="Arial" w:cs="Arial"/>
                <w:szCs w:val="22"/>
              </w:rPr>
              <w:t>80%</w:t>
            </w:r>
          </w:p>
        </w:tc>
      </w:tr>
      <w:tr w:rsidR="00F3031F" w:rsidRPr="00EE4356" w14:paraId="16ADEEFE" w14:textId="77777777" w:rsidTr="008B476E">
        <w:trPr>
          <w:trHeight w:val="300"/>
        </w:trPr>
        <w:tc>
          <w:tcPr>
            <w:cnfStyle w:val="001000000000" w:firstRow="0" w:lastRow="0" w:firstColumn="1" w:lastColumn="0" w:oddVBand="0" w:evenVBand="0" w:oddHBand="0" w:evenHBand="0" w:firstRowFirstColumn="0" w:firstRowLastColumn="0" w:lastRowFirstColumn="0" w:lastRowLastColumn="0"/>
            <w:tcW w:w="5688" w:type="dxa"/>
            <w:noWrap/>
            <w:vAlign w:val="center"/>
          </w:tcPr>
          <w:p w14:paraId="2C2CC454" w14:textId="77777777" w:rsidR="00F32FBB" w:rsidRDefault="00F32FBB" w:rsidP="00840A2C">
            <w:pPr>
              <w:spacing w:after="0" w:line="240" w:lineRule="auto"/>
              <w:rPr>
                <w:rFonts w:ascii="Arial" w:hAnsi="Arial" w:cs="Arial"/>
                <w:bCs w:val="0"/>
                <w:szCs w:val="22"/>
              </w:rPr>
            </w:pPr>
          </w:p>
          <w:p w14:paraId="01EED668" w14:textId="6D207B5E" w:rsidR="00F3031F" w:rsidRPr="00F32FBB" w:rsidRDefault="00F32FBB" w:rsidP="00840A2C">
            <w:pPr>
              <w:spacing w:after="0" w:line="240" w:lineRule="auto"/>
              <w:rPr>
                <w:rFonts w:ascii="Arial" w:hAnsi="Arial" w:cs="Arial"/>
                <w:b w:val="0"/>
                <w:szCs w:val="22"/>
              </w:rPr>
            </w:pPr>
            <w:r>
              <w:rPr>
                <w:rFonts w:ascii="Arial" w:hAnsi="Arial" w:cs="Arial"/>
                <w:b w:val="0"/>
                <w:szCs w:val="22"/>
              </w:rPr>
              <w:t>Oil and Gas Pipeline and Related Structures Construction</w:t>
            </w:r>
          </w:p>
          <w:p w14:paraId="1C62A9CF" w14:textId="459BB801" w:rsidR="00F32FBB" w:rsidRPr="001C732A" w:rsidRDefault="00F32FBB" w:rsidP="00840A2C">
            <w:pPr>
              <w:spacing w:after="0" w:line="240" w:lineRule="auto"/>
              <w:rPr>
                <w:rFonts w:ascii="Arial" w:hAnsi="Arial" w:cs="Arial"/>
                <w:b w:val="0"/>
                <w:szCs w:val="22"/>
              </w:rPr>
            </w:pPr>
          </w:p>
        </w:tc>
        <w:tc>
          <w:tcPr>
            <w:tcW w:w="999" w:type="dxa"/>
            <w:noWrap/>
            <w:vAlign w:val="center"/>
          </w:tcPr>
          <w:p w14:paraId="66ADA733" w14:textId="77777777" w:rsidR="00F32FBB" w:rsidRDefault="00F32FBB" w:rsidP="00840A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42BBA07C" w14:textId="77777777" w:rsidR="005F5557" w:rsidRDefault="005F5557" w:rsidP="00840A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6A5FA1C5" w14:textId="0436BB49" w:rsidR="00F3031F" w:rsidRDefault="00F32FBB" w:rsidP="00840A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237120</w:t>
            </w:r>
          </w:p>
          <w:p w14:paraId="10193894" w14:textId="1727BBE3" w:rsidR="00F32FBB" w:rsidRPr="001C732A" w:rsidRDefault="00F32FBB" w:rsidP="00840A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16" w:type="dxa"/>
            <w:noWrap/>
            <w:vAlign w:val="bottom"/>
          </w:tcPr>
          <w:p w14:paraId="164DAB6F" w14:textId="4BBDF13A" w:rsidR="00F32FBB" w:rsidRDefault="00F32FBB" w:rsidP="00F32FB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$3,690,000.00</w:t>
            </w:r>
          </w:p>
          <w:p w14:paraId="329C4498" w14:textId="5BCDA4A3" w:rsidR="00F32FBB" w:rsidRPr="001C732A" w:rsidRDefault="00F32FBB" w:rsidP="006000B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709" w:type="dxa"/>
            <w:noWrap/>
            <w:vAlign w:val="center"/>
          </w:tcPr>
          <w:p w14:paraId="3ABE6F18" w14:textId="77777777" w:rsidR="00F32FBB" w:rsidRDefault="00F32FBB" w:rsidP="006000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6764AE68" w14:textId="77777777" w:rsidR="005F5557" w:rsidRDefault="005F5557" w:rsidP="006000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030302A5" w14:textId="33087B08" w:rsidR="00F3031F" w:rsidRDefault="00F32FBB" w:rsidP="006000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100</w:t>
            </w:r>
            <w:r w:rsidR="00F3031F" w:rsidRPr="001C732A">
              <w:rPr>
                <w:rFonts w:ascii="Arial" w:hAnsi="Arial" w:cs="Arial"/>
                <w:szCs w:val="22"/>
              </w:rPr>
              <w:t>%</w:t>
            </w:r>
          </w:p>
          <w:p w14:paraId="30004D9B" w14:textId="71CDE625" w:rsidR="00F32FBB" w:rsidRPr="001C732A" w:rsidRDefault="00F32FBB" w:rsidP="006000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F3031F" w:rsidRPr="00EE4356" w14:paraId="0F7A7207" w14:textId="77777777" w:rsidTr="008B47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8" w:type="dxa"/>
            <w:noWrap/>
            <w:vAlign w:val="center"/>
          </w:tcPr>
          <w:p w14:paraId="29B64088" w14:textId="35B88DA6" w:rsidR="00F3031F" w:rsidRPr="00F32FBB" w:rsidRDefault="00F32FBB" w:rsidP="00840A2C">
            <w:pPr>
              <w:spacing w:after="0" w:line="240" w:lineRule="auto"/>
              <w:rPr>
                <w:rFonts w:ascii="Arial" w:hAnsi="Arial" w:cs="Arial"/>
                <w:b w:val="0"/>
                <w:bCs w:val="0"/>
                <w:szCs w:val="22"/>
              </w:rPr>
            </w:pPr>
            <w:r>
              <w:rPr>
                <w:rFonts w:cs="Arial"/>
                <w:b w:val="0"/>
                <w:bCs w:val="0"/>
              </w:rPr>
              <w:t>Computer Systems Design Services</w:t>
            </w:r>
          </w:p>
        </w:tc>
        <w:tc>
          <w:tcPr>
            <w:tcW w:w="999" w:type="dxa"/>
            <w:noWrap/>
            <w:vAlign w:val="center"/>
          </w:tcPr>
          <w:p w14:paraId="4FD670B8" w14:textId="4A85B0B4" w:rsidR="00F3031F" w:rsidRPr="001C732A" w:rsidRDefault="00F32FBB" w:rsidP="00840A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541512</w:t>
            </w:r>
          </w:p>
        </w:tc>
        <w:tc>
          <w:tcPr>
            <w:tcW w:w="1916" w:type="dxa"/>
            <w:noWrap/>
            <w:vAlign w:val="bottom"/>
          </w:tcPr>
          <w:p w14:paraId="70AF13BA" w14:textId="77777777" w:rsidR="00784AE0" w:rsidRPr="001C732A" w:rsidRDefault="00784AE0" w:rsidP="006000B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Cs w:val="22"/>
              </w:rPr>
            </w:pPr>
          </w:p>
          <w:p w14:paraId="0794B6AB" w14:textId="6D73FE92" w:rsidR="00F3031F" w:rsidRPr="001C732A" w:rsidRDefault="00F32FBB" w:rsidP="006000B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$320,000.00</w:t>
            </w:r>
          </w:p>
          <w:p w14:paraId="6F306767" w14:textId="77777777" w:rsidR="00784AE0" w:rsidRPr="001C732A" w:rsidRDefault="00784AE0" w:rsidP="006000B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c>
          <w:tcPr>
            <w:tcW w:w="1709" w:type="dxa"/>
            <w:noWrap/>
            <w:vAlign w:val="center"/>
          </w:tcPr>
          <w:p w14:paraId="2EFBDDD8" w14:textId="77777777" w:rsidR="00F3031F" w:rsidRPr="001C732A" w:rsidRDefault="00784AE0" w:rsidP="006000B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1C732A">
              <w:rPr>
                <w:rFonts w:ascii="Arial" w:hAnsi="Arial" w:cs="Arial"/>
                <w:szCs w:val="22"/>
              </w:rPr>
              <w:t>80%</w:t>
            </w:r>
          </w:p>
        </w:tc>
      </w:tr>
      <w:tr w:rsidR="00784AE0" w:rsidRPr="00EE4356" w14:paraId="592FA755" w14:textId="77777777" w:rsidTr="008B476E">
        <w:trPr>
          <w:trHeight w:val="300"/>
        </w:trPr>
        <w:tc>
          <w:tcPr>
            <w:cnfStyle w:val="001000000000" w:firstRow="0" w:lastRow="0" w:firstColumn="1" w:lastColumn="0" w:oddVBand="0" w:evenVBand="0" w:oddHBand="0" w:evenHBand="0" w:firstRowFirstColumn="0" w:firstRowLastColumn="0" w:lastRowFirstColumn="0" w:lastRowLastColumn="0"/>
            <w:tcW w:w="5688" w:type="dxa"/>
            <w:noWrap/>
            <w:vAlign w:val="center"/>
          </w:tcPr>
          <w:p w14:paraId="67751FC0" w14:textId="417114AA" w:rsidR="00784AE0" w:rsidRPr="00837523" w:rsidRDefault="00837523" w:rsidP="00840A2C">
            <w:pPr>
              <w:spacing w:after="0" w:line="240" w:lineRule="auto"/>
              <w:rPr>
                <w:rFonts w:ascii="Arial" w:hAnsi="Arial" w:cs="Arial"/>
                <w:b w:val="0"/>
                <w:bCs w:val="0"/>
                <w:color w:val="auto"/>
              </w:rPr>
            </w:pPr>
            <w:r>
              <w:rPr>
                <w:rFonts w:ascii="Arial" w:hAnsi="Arial" w:cs="Arial"/>
                <w:b w:val="0"/>
                <w:bCs w:val="0"/>
              </w:rPr>
              <w:t>Commercial and Institutional Building Construction</w:t>
            </w:r>
          </w:p>
        </w:tc>
        <w:tc>
          <w:tcPr>
            <w:tcW w:w="999" w:type="dxa"/>
            <w:noWrap/>
            <w:vAlign w:val="center"/>
          </w:tcPr>
          <w:p w14:paraId="13500535" w14:textId="73B57038" w:rsidR="00784AE0" w:rsidRPr="001C732A" w:rsidRDefault="00837523" w:rsidP="00840A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236220</w:t>
            </w:r>
          </w:p>
        </w:tc>
        <w:tc>
          <w:tcPr>
            <w:tcW w:w="1916" w:type="dxa"/>
            <w:noWrap/>
            <w:vAlign w:val="bottom"/>
          </w:tcPr>
          <w:p w14:paraId="7FE490C6" w14:textId="77777777" w:rsidR="00784AE0" w:rsidRPr="001C732A" w:rsidRDefault="00784AE0" w:rsidP="006000B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7E9309EA" w14:textId="041DB7B3" w:rsidR="00784AE0" w:rsidRPr="001C732A" w:rsidRDefault="00784AE0" w:rsidP="006000B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1C732A">
              <w:rPr>
                <w:rFonts w:ascii="Arial" w:eastAsia="Times New Roman" w:hAnsi="Arial" w:cs="Arial"/>
                <w:color w:val="auto"/>
                <w:szCs w:val="22"/>
              </w:rPr>
              <w:t>$</w:t>
            </w:r>
            <w:r w:rsidR="00837523">
              <w:rPr>
                <w:rFonts w:ascii="Arial" w:eastAsia="Times New Roman" w:hAnsi="Arial" w:cs="Arial"/>
                <w:color w:val="auto"/>
                <w:szCs w:val="22"/>
              </w:rPr>
              <w:t>1,500,000.00</w:t>
            </w:r>
          </w:p>
          <w:p w14:paraId="69F05E4D" w14:textId="77777777" w:rsidR="00784AE0" w:rsidRPr="001C732A" w:rsidRDefault="00784AE0" w:rsidP="006000B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709" w:type="dxa"/>
            <w:noWrap/>
            <w:vAlign w:val="center"/>
          </w:tcPr>
          <w:p w14:paraId="455E9966" w14:textId="059F1462" w:rsidR="00784AE0" w:rsidRPr="001C732A" w:rsidRDefault="00837523" w:rsidP="006000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48</w:t>
            </w:r>
            <w:r w:rsidR="00784AE0" w:rsidRPr="001C732A">
              <w:rPr>
                <w:rFonts w:ascii="Arial" w:hAnsi="Arial" w:cs="Arial"/>
                <w:szCs w:val="22"/>
              </w:rPr>
              <w:t>%</w:t>
            </w:r>
          </w:p>
        </w:tc>
      </w:tr>
      <w:tr w:rsidR="00784AE0" w:rsidRPr="00EE4356" w14:paraId="3791A630" w14:textId="77777777" w:rsidTr="008B47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8" w:type="dxa"/>
            <w:noWrap/>
            <w:vAlign w:val="center"/>
          </w:tcPr>
          <w:p w14:paraId="14335A72" w14:textId="63A37566" w:rsidR="00784AE0" w:rsidRPr="001C732A" w:rsidRDefault="00837523" w:rsidP="00840A2C">
            <w:pPr>
              <w:spacing w:after="0" w:line="240" w:lineRule="auto"/>
              <w:rPr>
                <w:rFonts w:ascii="Arial" w:hAnsi="Arial" w:cs="Arial"/>
                <w:b w:val="0"/>
                <w:color w:val="auto"/>
              </w:rPr>
            </w:pPr>
            <w:r>
              <w:rPr>
                <w:b w:val="0"/>
              </w:rPr>
              <w:t>Flooring Contractors</w:t>
            </w:r>
          </w:p>
        </w:tc>
        <w:tc>
          <w:tcPr>
            <w:tcW w:w="999" w:type="dxa"/>
            <w:noWrap/>
            <w:vAlign w:val="center"/>
          </w:tcPr>
          <w:p w14:paraId="112196D7" w14:textId="34CA58A9" w:rsidR="00784AE0" w:rsidRPr="001C732A" w:rsidRDefault="00837523" w:rsidP="00840A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238330</w:t>
            </w:r>
          </w:p>
        </w:tc>
        <w:tc>
          <w:tcPr>
            <w:tcW w:w="1916" w:type="dxa"/>
            <w:noWrap/>
            <w:vAlign w:val="bottom"/>
          </w:tcPr>
          <w:p w14:paraId="50A47E43" w14:textId="77777777" w:rsidR="00784AE0" w:rsidRPr="001C732A" w:rsidRDefault="00784AE0" w:rsidP="006000B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Cs w:val="22"/>
              </w:rPr>
            </w:pPr>
          </w:p>
          <w:p w14:paraId="518CA71B" w14:textId="742BF62C" w:rsidR="00784AE0" w:rsidRPr="001C732A" w:rsidRDefault="00784AE0" w:rsidP="006000B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1C732A">
              <w:rPr>
                <w:rFonts w:ascii="Arial" w:hAnsi="Arial" w:cs="Arial"/>
                <w:szCs w:val="22"/>
              </w:rPr>
              <w:t>$</w:t>
            </w:r>
            <w:r w:rsidR="00B9078A">
              <w:rPr>
                <w:rFonts w:ascii="Arial" w:hAnsi="Arial" w:cs="Arial"/>
                <w:szCs w:val="22"/>
              </w:rPr>
              <w:t>3</w:t>
            </w:r>
            <w:r w:rsidR="00B9078A">
              <w:rPr>
                <w:rFonts w:ascii="Arial" w:eastAsia="Times New Roman" w:hAnsi="Arial" w:cs="Arial"/>
                <w:color w:val="auto"/>
                <w:szCs w:val="22"/>
              </w:rPr>
              <w:t>28</w:t>
            </w:r>
            <w:r w:rsidR="00837523">
              <w:rPr>
                <w:rFonts w:ascii="Arial" w:eastAsia="Times New Roman" w:hAnsi="Arial" w:cs="Arial"/>
                <w:color w:val="auto"/>
                <w:szCs w:val="22"/>
              </w:rPr>
              <w:t>,000.00</w:t>
            </w:r>
          </w:p>
          <w:p w14:paraId="1BF39DB0" w14:textId="77777777" w:rsidR="00784AE0" w:rsidRPr="001C732A" w:rsidRDefault="00784AE0" w:rsidP="006000B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c>
          <w:tcPr>
            <w:tcW w:w="1709" w:type="dxa"/>
            <w:noWrap/>
            <w:vAlign w:val="center"/>
          </w:tcPr>
          <w:p w14:paraId="6BF52B79" w14:textId="77777777" w:rsidR="00784AE0" w:rsidRPr="001C732A" w:rsidRDefault="00784AE0" w:rsidP="006000B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1C732A">
              <w:rPr>
                <w:rFonts w:ascii="Arial" w:hAnsi="Arial" w:cs="Arial"/>
                <w:szCs w:val="22"/>
              </w:rPr>
              <w:t>80%</w:t>
            </w:r>
          </w:p>
        </w:tc>
      </w:tr>
      <w:tr w:rsidR="00784AE0" w:rsidRPr="00461327" w14:paraId="42D6A503" w14:textId="77777777" w:rsidTr="008B476E">
        <w:trPr>
          <w:trHeight w:val="300"/>
        </w:trPr>
        <w:tc>
          <w:tcPr>
            <w:cnfStyle w:val="001000000000" w:firstRow="0" w:lastRow="0" w:firstColumn="1" w:lastColumn="0" w:oddVBand="0" w:evenVBand="0" w:oddHBand="0" w:evenHBand="0" w:firstRowFirstColumn="0" w:firstRowLastColumn="0" w:lastRowFirstColumn="0" w:lastRowLastColumn="0"/>
            <w:tcW w:w="5688" w:type="dxa"/>
            <w:noWrap/>
            <w:vAlign w:val="center"/>
          </w:tcPr>
          <w:p w14:paraId="53D289C1" w14:textId="77777777" w:rsidR="00837523" w:rsidRDefault="00837523" w:rsidP="00840A2C">
            <w:pPr>
              <w:spacing w:after="0" w:line="240" w:lineRule="auto"/>
              <w:rPr>
                <w:rFonts w:ascii="Arial" w:hAnsi="Arial" w:cs="Arial"/>
                <w:bCs w:val="0"/>
                <w:color w:val="auto"/>
              </w:rPr>
            </w:pPr>
          </w:p>
          <w:p w14:paraId="6309663F" w14:textId="77777777" w:rsidR="00784AE0" w:rsidRDefault="00B9078A" w:rsidP="00840A2C">
            <w:pPr>
              <w:spacing w:after="0" w:line="240" w:lineRule="auto"/>
              <w:rPr>
                <w:rFonts w:ascii="Arial" w:hAnsi="Arial" w:cs="Arial"/>
                <w:bCs w:val="0"/>
                <w:color w:val="auto"/>
              </w:rPr>
            </w:pPr>
            <w:r>
              <w:rPr>
                <w:rFonts w:ascii="Arial" w:hAnsi="Arial" w:cs="Arial"/>
                <w:b w:val="0"/>
                <w:color w:val="auto"/>
              </w:rPr>
              <w:t>Painting and Wall Covering Contractors</w:t>
            </w:r>
          </w:p>
          <w:p w14:paraId="69A14232" w14:textId="5EEA714C" w:rsidR="00B9078A" w:rsidRPr="001C732A" w:rsidRDefault="00B9078A" w:rsidP="00840A2C">
            <w:pPr>
              <w:spacing w:after="0" w:line="240" w:lineRule="auto"/>
              <w:rPr>
                <w:rFonts w:ascii="Arial" w:hAnsi="Arial" w:cs="Arial"/>
                <w:b w:val="0"/>
                <w:color w:val="auto"/>
              </w:rPr>
            </w:pPr>
          </w:p>
        </w:tc>
        <w:tc>
          <w:tcPr>
            <w:tcW w:w="999" w:type="dxa"/>
            <w:noWrap/>
            <w:vAlign w:val="center"/>
          </w:tcPr>
          <w:p w14:paraId="6A75724B" w14:textId="3A4AB40F" w:rsidR="00784AE0" w:rsidRPr="001C732A" w:rsidRDefault="00B9078A" w:rsidP="00840A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238320</w:t>
            </w:r>
          </w:p>
        </w:tc>
        <w:tc>
          <w:tcPr>
            <w:tcW w:w="1916" w:type="dxa"/>
            <w:noWrap/>
            <w:vAlign w:val="bottom"/>
          </w:tcPr>
          <w:p w14:paraId="0EEF5D9B" w14:textId="197EEACA" w:rsidR="00784AE0" w:rsidRDefault="00784AE0" w:rsidP="006000B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1C732A">
              <w:rPr>
                <w:rFonts w:ascii="Arial" w:hAnsi="Arial" w:cs="Arial"/>
                <w:szCs w:val="22"/>
              </w:rPr>
              <w:t>$</w:t>
            </w:r>
            <w:r w:rsidR="00B9078A">
              <w:rPr>
                <w:rFonts w:ascii="Arial" w:hAnsi="Arial" w:cs="Arial"/>
                <w:szCs w:val="22"/>
              </w:rPr>
              <w:t>80,000.00</w:t>
            </w:r>
          </w:p>
          <w:p w14:paraId="36AEAA4C" w14:textId="7AA45F77" w:rsidR="00B9078A" w:rsidRPr="001C732A" w:rsidRDefault="00B9078A" w:rsidP="006000B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709" w:type="dxa"/>
            <w:noWrap/>
            <w:vAlign w:val="center"/>
          </w:tcPr>
          <w:p w14:paraId="65C7F388" w14:textId="77777777" w:rsidR="00784AE0" w:rsidRPr="001C732A" w:rsidRDefault="00784AE0" w:rsidP="006000B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1C732A">
              <w:rPr>
                <w:rFonts w:ascii="Arial" w:hAnsi="Arial" w:cs="Arial"/>
                <w:szCs w:val="22"/>
              </w:rPr>
              <w:t>80%</w:t>
            </w:r>
          </w:p>
        </w:tc>
      </w:tr>
      <w:tr w:rsidR="00B9078A" w:rsidRPr="00461327" w14:paraId="59EB7318" w14:textId="77777777" w:rsidTr="008B47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8" w:type="dxa"/>
            <w:noWrap/>
            <w:vAlign w:val="center"/>
          </w:tcPr>
          <w:p w14:paraId="20E1AB47" w14:textId="0B08420D" w:rsidR="00B9078A" w:rsidRPr="00B9078A" w:rsidRDefault="00B9078A" w:rsidP="00840A2C">
            <w:pPr>
              <w:spacing w:after="0" w:line="240" w:lineRule="auto"/>
              <w:rPr>
                <w:rFonts w:ascii="Arial" w:hAnsi="Arial" w:cs="Arial"/>
                <w:b w:val="0"/>
                <w:color w:val="auto"/>
              </w:rPr>
            </w:pPr>
            <w:r>
              <w:rPr>
                <w:rFonts w:ascii="Arial" w:hAnsi="Arial" w:cs="Arial"/>
                <w:b w:val="0"/>
                <w:color w:val="auto"/>
              </w:rPr>
              <w:t>Landscaping Services</w:t>
            </w:r>
          </w:p>
        </w:tc>
        <w:tc>
          <w:tcPr>
            <w:tcW w:w="999" w:type="dxa"/>
            <w:noWrap/>
            <w:vAlign w:val="center"/>
          </w:tcPr>
          <w:p w14:paraId="0C748DF3" w14:textId="418695D8" w:rsidR="00B9078A" w:rsidRDefault="00B9078A" w:rsidP="00840A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561730</w:t>
            </w:r>
          </w:p>
        </w:tc>
        <w:tc>
          <w:tcPr>
            <w:tcW w:w="1916" w:type="dxa"/>
            <w:noWrap/>
            <w:vAlign w:val="bottom"/>
          </w:tcPr>
          <w:p w14:paraId="0DEAA2DF" w14:textId="77777777" w:rsidR="00B9078A" w:rsidRDefault="00B9078A" w:rsidP="006000B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$440,000.00</w:t>
            </w:r>
          </w:p>
          <w:p w14:paraId="6E765DDE" w14:textId="58C4B899" w:rsidR="00B9078A" w:rsidRPr="001C732A" w:rsidRDefault="00B9078A" w:rsidP="006000B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c>
          <w:tcPr>
            <w:tcW w:w="1709" w:type="dxa"/>
            <w:noWrap/>
            <w:vAlign w:val="center"/>
          </w:tcPr>
          <w:p w14:paraId="0B6B6325" w14:textId="77777777" w:rsidR="00B9078A" w:rsidRDefault="00B9078A" w:rsidP="006000B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p>
          <w:p w14:paraId="452C8A5C" w14:textId="77777777" w:rsidR="00B9078A" w:rsidRDefault="00B9078A" w:rsidP="006000B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80%</w:t>
            </w:r>
          </w:p>
          <w:p w14:paraId="4DFC0F80" w14:textId="31C74847" w:rsidR="00B9078A" w:rsidRPr="001C732A" w:rsidRDefault="00B9078A" w:rsidP="006000B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r>
    </w:tbl>
    <w:p w14:paraId="3F85408D" w14:textId="77777777" w:rsidR="00D012BA" w:rsidRPr="00AA59B5" w:rsidRDefault="00D012BA" w:rsidP="009A4750">
      <w:pPr>
        <w:pStyle w:val="Heading1"/>
        <w:spacing w:after="240"/>
        <w:rPr>
          <w:rFonts w:ascii="Arial" w:hAnsi="Arial" w:cs="Arial"/>
          <w:sz w:val="22"/>
          <w:szCs w:val="22"/>
        </w:rPr>
      </w:pPr>
      <w:bookmarkStart w:id="5" w:name="_Toc331591918"/>
      <w:r w:rsidRPr="00AA59B5">
        <w:rPr>
          <w:rFonts w:ascii="Arial" w:hAnsi="Arial" w:cs="Arial"/>
          <w:sz w:val="22"/>
          <w:szCs w:val="22"/>
        </w:rPr>
        <w:lastRenderedPageBreak/>
        <w:t xml:space="preserve">IV.     </w:t>
      </w:r>
      <w:r w:rsidR="00C63914" w:rsidRPr="00AA59B5">
        <w:rPr>
          <w:rFonts w:ascii="Arial" w:hAnsi="Arial" w:cs="Arial"/>
          <w:sz w:val="22"/>
          <w:szCs w:val="22"/>
        </w:rPr>
        <w:t>GOAL</w:t>
      </w:r>
      <w:r w:rsidRPr="00AA59B5">
        <w:rPr>
          <w:rFonts w:ascii="Arial" w:hAnsi="Arial" w:cs="Arial"/>
          <w:sz w:val="22"/>
          <w:szCs w:val="22"/>
        </w:rPr>
        <w:t xml:space="preserve"> METHODOLOGY</w:t>
      </w:r>
      <w:bookmarkEnd w:id="5"/>
    </w:p>
    <w:p w14:paraId="760A409A" w14:textId="77777777" w:rsidR="00D012BA" w:rsidRPr="00AA59B5" w:rsidRDefault="00D012BA" w:rsidP="009A4750">
      <w:pPr>
        <w:pStyle w:val="Heading1"/>
        <w:spacing w:before="240"/>
        <w:rPr>
          <w:rFonts w:ascii="Arial" w:hAnsi="Arial" w:cs="Arial"/>
          <w:i/>
          <w:color w:val="548DD4" w:themeColor="text2" w:themeTint="99"/>
          <w:sz w:val="22"/>
          <w:szCs w:val="22"/>
        </w:rPr>
      </w:pPr>
      <w:bookmarkStart w:id="6" w:name="_Toc331591919"/>
      <w:r w:rsidRPr="00AA59B5">
        <w:rPr>
          <w:rFonts w:ascii="Arial" w:hAnsi="Arial" w:cs="Arial"/>
          <w:i/>
          <w:color w:val="548DD4" w:themeColor="text2" w:themeTint="99"/>
          <w:sz w:val="22"/>
          <w:szCs w:val="22"/>
        </w:rPr>
        <w:t>Step 1: Determination of a Base Figure (26.45)</w:t>
      </w:r>
      <w:r w:rsidR="00A833B6" w:rsidRPr="00AA59B5">
        <w:rPr>
          <w:rFonts w:ascii="Arial" w:hAnsi="Arial" w:cs="Arial"/>
          <w:sz w:val="22"/>
          <w:szCs w:val="22"/>
          <w:vertAlign w:val="superscript"/>
        </w:rPr>
        <w:footnoteReference w:id="1"/>
      </w:r>
      <w:bookmarkEnd w:id="6"/>
    </w:p>
    <w:p w14:paraId="025D5CEB" w14:textId="77777777" w:rsidR="00D012BA" w:rsidRPr="00AA59B5" w:rsidRDefault="00D012BA">
      <w:pPr>
        <w:spacing w:after="0"/>
        <w:rPr>
          <w:rFonts w:ascii="Arial" w:hAnsi="Arial" w:cs="Arial"/>
          <w:szCs w:val="22"/>
        </w:rPr>
      </w:pPr>
    </w:p>
    <w:p w14:paraId="52C25858" w14:textId="166CB05E" w:rsidR="0034178D" w:rsidRPr="00AA59B5" w:rsidRDefault="00D012BA" w:rsidP="00C63914">
      <w:pPr>
        <w:autoSpaceDE w:val="0"/>
        <w:autoSpaceDN w:val="0"/>
        <w:adjustRightInd w:val="0"/>
        <w:spacing w:after="0" w:line="240" w:lineRule="auto"/>
        <w:jc w:val="both"/>
        <w:rPr>
          <w:rFonts w:ascii="Arial" w:eastAsia="Times New Roman" w:hAnsi="Arial" w:cs="Arial"/>
          <w:color w:val="auto"/>
          <w:szCs w:val="22"/>
        </w:rPr>
      </w:pPr>
      <w:r w:rsidRPr="00AA59B5">
        <w:rPr>
          <w:rFonts w:ascii="Arial" w:eastAsia="Times New Roman" w:hAnsi="Arial" w:cs="Arial"/>
          <w:color w:val="auto"/>
          <w:szCs w:val="22"/>
        </w:rPr>
        <w:t xml:space="preserve">To establish </w:t>
      </w:r>
      <w:r w:rsidR="00461327">
        <w:rPr>
          <w:rFonts w:ascii="Arial" w:eastAsia="Times New Roman" w:hAnsi="Arial" w:cs="Arial"/>
          <w:color w:val="auto"/>
          <w:szCs w:val="22"/>
        </w:rPr>
        <w:t>VVTA’s</w:t>
      </w:r>
      <w:r w:rsidRPr="00AA59B5">
        <w:rPr>
          <w:rFonts w:ascii="Arial" w:eastAsia="Times New Roman" w:hAnsi="Arial" w:cs="Arial"/>
          <w:color w:val="auto"/>
          <w:szCs w:val="22"/>
        </w:rPr>
        <w:t xml:space="preserve"> </w:t>
      </w:r>
      <w:r w:rsidR="002C41BD" w:rsidRPr="00AA59B5">
        <w:rPr>
          <w:rFonts w:ascii="Arial" w:eastAsia="Times New Roman" w:hAnsi="Arial" w:cs="Arial"/>
          <w:color w:val="auto"/>
          <w:szCs w:val="22"/>
        </w:rPr>
        <w:t>B</w:t>
      </w:r>
      <w:r w:rsidRPr="00AA59B5">
        <w:rPr>
          <w:rFonts w:ascii="Arial" w:eastAsia="Times New Roman" w:hAnsi="Arial" w:cs="Arial"/>
          <w:color w:val="auto"/>
          <w:szCs w:val="22"/>
        </w:rPr>
        <w:t xml:space="preserve">ase </w:t>
      </w:r>
      <w:r w:rsidR="002C41BD" w:rsidRPr="00AA59B5">
        <w:rPr>
          <w:rFonts w:ascii="Arial" w:eastAsia="Times New Roman" w:hAnsi="Arial" w:cs="Arial"/>
          <w:color w:val="auto"/>
          <w:szCs w:val="22"/>
        </w:rPr>
        <w:t>F</w:t>
      </w:r>
      <w:r w:rsidRPr="00AA59B5">
        <w:rPr>
          <w:rFonts w:ascii="Arial" w:eastAsia="Times New Roman" w:hAnsi="Arial" w:cs="Arial"/>
          <w:color w:val="auto"/>
          <w:szCs w:val="22"/>
        </w:rPr>
        <w:t>igure of the relative availability of DBEs to all comparable</w:t>
      </w:r>
      <w:r w:rsidR="00E259A6" w:rsidRPr="00AA59B5">
        <w:rPr>
          <w:rFonts w:ascii="Arial" w:eastAsia="Times New Roman" w:hAnsi="Arial" w:cs="Arial"/>
          <w:color w:val="auto"/>
          <w:szCs w:val="22"/>
        </w:rPr>
        <w:t xml:space="preserve"> firms </w:t>
      </w:r>
      <w:r w:rsidRPr="00AA59B5">
        <w:rPr>
          <w:rFonts w:ascii="Arial" w:eastAsia="Times New Roman" w:hAnsi="Arial" w:cs="Arial"/>
          <w:color w:val="auto"/>
          <w:szCs w:val="22"/>
        </w:rPr>
        <w:t xml:space="preserve">(DBE and Non-DBE) available to bid or propose on </w:t>
      </w:r>
      <w:r w:rsidR="00461327">
        <w:rPr>
          <w:rFonts w:ascii="Arial" w:eastAsia="Times New Roman" w:hAnsi="Arial" w:cs="Arial"/>
          <w:color w:val="auto"/>
          <w:szCs w:val="22"/>
        </w:rPr>
        <w:t>VVTA’s</w:t>
      </w:r>
      <w:r w:rsidRPr="00AA59B5">
        <w:rPr>
          <w:rFonts w:ascii="Arial" w:eastAsia="Times New Roman" w:hAnsi="Arial" w:cs="Arial"/>
          <w:color w:val="auto"/>
          <w:szCs w:val="22"/>
        </w:rPr>
        <w:t xml:space="preserve"> F</w:t>
      </w:r>
      <w:r w:rsidR="00E259A6" w:rsidRPr="00AA59B5">
        <w:rPr>
          <w:rFonts w:ascii="Arial" w:eastAsia="Times New Roman" w:hAnsi="Arial" w:cs="Arial"/>
          <w:color w:val="auto"/>
          <w:szCs w:val="22"/>
        </w:rPr>
        <w:t>T</w:t>
      </w:r>
      <w:r w:rsidRPr="00AA59B5">
        <w:rPr>
          <w:rFonts w:ascii="Arial" w:eastAsia="Times New Roman" w:hAnsi="Arial" w:cs="Arial"/>
          <w:color w:val="auto"/>
          <w:szCs w:val="22"/>
        </w:rPr>
        <w:t xml:space="preserve">A-assisted contracting opportunities projected </w:t>
      </w:r>
      <w:r w:rsidR="00E259A6" w:rsidRPr="00AA59B5">
        <w:rPr>
          <w:rFonts w:ascii="Arial" w:eastAsia="Times New Roman" w:hAnsi="Arial" w:cs="Arial"/>
          <w:color w:val="auto"/>
          <w:szCs w:val="22"/>
        </w:rPr>
        <w:t xml:space="preserve">to be solicited during the </w:t>
      </w:r>
      <w:r w:rsidR="007C43CC" w:rsidRPr="00AA59B5">
        <w:rPr>
          <w:rFonts w:ascii="Arial" w:eastAsia="Times New Roman" w:hAnsi="Arial" w:cs="Arial"/>
          <w:color w:val="auto"/>
          <w:szCs w:val="22"/>
        </w:rPr>
        <w:t>triennial</w:t>
      </w:r>
      <w:r w:rsidR="00E259A6" w:rsidRPr="00AA59B5">
        <w:rPr>
          <w:rFonts w:ascii="Arial" w:eastAsia="Times New Roman" w:hAnsi="Arial" w:cs="Arial"/>
          <w:color w:val="auto"/>
          <w:szCs w:val="22"/>
        </w:rPr>
        <w:t xml:space="preserve"> goal period, </w:t>
      </w:r>
      <w:r w:rsidR="00AA59B5">
        <w:rPr>
          <w:rFonts w:ascii="Arial" w:eastAsia="Times New Roman" w:hAnsi="Arial" w:cs="Arial"/>
          <w:color w:val="auto"/>
          <w:szCs w:val="22"/>
        </w:rPr>
        <w:t>VVTA</w:t>
      </w:r>
      <w:r w:rsidRPr="00AA59B5">
        <w:rPr>
          <w:rFonts w:ascii="Arial" w:eastAsia="Times New Roman" w:hAnsi="Arial" w:cs="Arial"/>
          <w:color w:val="auto"/>
          <w:szCs w:val="22"/>
        </w:rPr>
        <w:t xml:space="preserve"> followed the prescribed federal methodology to determine relative availability. This was accomplished by assessing the </w:t>
      </w:r>
      <w:r w:rsidRPr="00AA59B5">
        <w:rPr>
          <w:rFonts w:ascii="Arial" w:eastAsia="Times New Roman" w:hAnsi="Arial" w:cs="Arial"/>
          <w:i/>
          <w:color w:val="auto"/>
          <w:szCs w:val="22"/>
        </w:rPr>
        <w:t xml:space="preserve">California Unified Certification Program </w:t>
      </w:r>
      <w:r w:rsidR="002C41BD" w:rsidRPr="00AA59B5">
        <w:rPr>
          <w:rFonts w:ascii="Arial" w:eastAsia="Times New Roman" w:hAnsi="Arial" w:cs="Arial"/>
          <w:i/>
          <w:color w:val="auto"/>
          <w:szCs w:val="22"/>
        </w:rPr>
        <w:t xml:space="preserve">(CUCP) </w:t>
      </w:r>
      <w:r w:rsidRPr="00AA59B5">
        <w:rPr>
          <w:rFonts w:ascii="Arial" w:eastAsia="Times New Roman" w:hAnsi="Arial" w:cs="Arial"/>
          <w:i/>
          <w:color w:val="auto"/>
          <w:szCs w:val="22"/>
        </w:rPr>
        <w:t>DBE Database of Certified Firms</w:t>
      </w:r>
      <w:r w:rsidRPr="00AA59B5">
        <w:rPr>
          <w:rFonts w:ascii="Arial" w:eastAsia="Times New Roman" w:hAnsi="Arial" w:cs="Arial"/>
          <w:color w:val="auto"/>
          <w:szCs w:val="22"/>
        </w:rPr>
        <w:t xml:space="preserve"> and the 20</w:t>
      </w:r>
      <w:r w:rsidR="007C6419" w:rsidRPr="00AA59B5">
        <w:rPr>
          <w:rFonts w:ascii="Arial" w:eastAsia="Times New Roman" w:hAnsi="Arial" w:cs="Arial"/>
          <w:color w:val="auto"/>
          <w:szCs w:val="22"/>
        </w:rPr>
        <w:t>1</w:t>
      </w:r>
      <w:r w:rsidR="002859FC">
        <w:rPr>
          <w:rFonts w:ascii="Arial" w:eastAsia="Times New Roman" w:hAnsi="Arial" w:cs="Arial"/>
          <w:color w:val="auto"/>
          <w:szCs w:val="22"/>
        </w:rPr>
        <w:t>8</w:t>
      </w:r>
      <w:r w:rsidRPr="00AA59B5">
        <w:rPr>
          <w:rFonts w:ascii="Arial" w:eastAsia="Times New Roman" w:hAnsi="Arial" w:cs="Arial"/>
          <w:color w:val="auto"/>
          <w:szCs w:val="22"/>
        </w:rPr>
        <w:t xml:space="preserve"> </w:t>
      </w:r>
      <w:r w:rsidRPr="00AA59B5">
        <w:rPr>
          <w:rFonts w:ascii="Arial" w:eastAsia="Times New Roman" w:hAnsi="Arial" w:cs="Arial"/>
          <w:i/>
          <w:color w:val="auto"/>
          <w:szCs w:val="22"/>
        </w:rPr>
        <w:t>U.S. Census Bureau County Business Patterns Database</w:t>
      </w:r>
      <w:r w:rsidRPr="00AA59B5">
        <w:rPr>
          <w:rFonts w:ascii="Arial" w:eastAsia="Times New Roman" w:hAnsi="Arial" w:cs="Arial"/>
          <w:color w:val="auto"/>
          <w:szCs w:val="22"/>
        </w:rPr>
        <w:t xml:space="preserve"> within </w:t>
      </w:r>
      <w:r w:rsidR="00461327">
        <w:rPr>
          <w:rFonts w:ascii="Arial" w:eastAsia="Times New Roman" w:hAnsi="Arial" w:cs="Arial"/>
          <w:color w:val="auto"/>
          <w:szCs w:val="22"/>
        </w:rPr>
        <w:t>VVTA’S</w:t>
      </w:r>
      <w:r w:rsidRPr="00AA59B5">
        <w:rPr>
          <w:rFonts w:ascii="Arial" w:eastAsia="Times New Roman" w:hAnsi="Arial" w:cs="Arial"/>
          <w:color w:val="auto"/>
          <w:szCs w:val="22"/>
        </w:rPr>
        <w:t xml:space="preserve"> market area (defined as </w:t>
      </w:r>
      <w:r w:rsidR="009A4750" w:rsidRPr="00AA59B5">
        <w:rPr>
          <w:rFonts w:ascii="Arial" w:eastAsia="Times New Roman" w:hAnsi="Arial" w:cs="Arial"/>
          <w:color w:val="auto"/>
          <w:szCs w:val="22"/>
        </w:rPr>
        <w:t>San Bernardino</w:t>
      </w:r>
      <w:r w:rsidR="00E93CC4">
        <w:rPr>
          <w:rFonts w:ascii="Arial" w:eastAsia="Times New Roman" w:hAnsi="Arial" w:cs="Arial"/>
          <w:color w:val="auto"/>
          <w:szCs w:val="22"/>
        </w:rPr>
        <w:t xml:space="preserve"> County</w:t>
      </w:r>
      <w:r w:rsidR="00EF183D">
        <w:rPr>
          <w:rFonts w:ascii="Arial" w:eastAsia="Times New Roman" w:hAnsi="Arial" w:cs="Arial"/>
          <w:color w:val="auto"/>
          <w:szCs w:val="22"/>
        </w:rPr>
        <w:t>, Riverside County, and Los Angeles County</w:t>
      </w:r>
      <w:r w:rsidRPr="00AA59B5">
        <w:rPr>
          <w:rFonts w:ascii="Arial" w:eastAsia="Times New Roman" w:hAnsi="Arial" w:cs="Arial"/>
          <w:color w:val="auto"/>
          <w:szCs w:val="22"/>
        </w:rPr>
        <w:t>) for each of the categories of work defined in Table 2.</w:t>
      </w:r>
      <w:r w:rsidR="0034178D" w:rsidRPr="00AA59B5">
        <w:rPr>
          <w:rFonts w:ascii="Arial" w:eastAsia="Times New Roman" w:hAnsi="Arial" w:cs="Arial"/>
          <w:color w:val="auto"/>
          <w:szCs w:val="22"/>
        </w:rPr>
        <w:t xml:space="preserve"> </w:t>
      </w:r>
    </w:p>
    <w:p w14:paraId="04C411EC" w14:textId="77777777" w:rsidR="0034178D" w:rsidRPr="00AA59B5" w:rsidRDefault="0034178D" w:rsidP="00C63914">
      <w:pPr>
        <w:autoSpaceDE w:val="0"/>
        <w:autoSpaceDN w:val="0"/>
        <w:adjustRightInd w:val="0"/>
        <w:spacing w:after="0" w:line="240" w:lineRule="auto"/>
        <w:jc w:val="both"/>
        <w:rPr>
          <w:rFonts w:ascii="Arial" w:eastAsia="Times New Roman" w:hAnsi="Arial" w:cs="Arial"/>
          <w:color w:val="auto"/>
          <w:szCs w:val="22"/>
        </w:rPr>
      </w:pPr>
    </w:p>
    <w:p w14:paraId="70F04F11" w14:textId="77777777" w:rsidR="0096355A" w:rsidRPr="00AA59B5" w:rsidRDefault="00461327" w:rsidP="0034178D">
      <w:pPr>
        <w:autoSpaceDE w:val="0"/>
        <w:autoSpaceDN w:val="0"/>
        <w:adjustRightInd w:val="0"/>
        <w:spacing w:after="0" w:line="240" w:lineRule="auto"/>
        <w:jc w:val="both"/>
        <w:rPr>
          <w:rFonts w:ascii="Arial" w:eastAsia="Times New Roman" w:hAnsi="Arial" w:cs="Arial"/>
          <w:color w:val="auto"/>
          <w:szCs w:val="22"/>
        </w:rPr>
      </w:pPr>
      <w:r>
        <w:rPr>
          <w:rFonts w:ascii="Arial" w:eastAsia="Times New Roman" w:hAnsi="Arial" w:cs="Arial"/>
          <w:color w:val="auto"/>
          <w:szCs w:val="22"/>
        </w:rPr>
        <w:t>VVTA’s</w:t>
      </w:r>
      <w:r w:rsidR="0034178D" w:rsidRPr="00AA59B5">
        <w:rPr>
          <w:rFonts w:ascii="Arial" w:eastAsia="Times New Roman" w:hAnsi="Arial" w:cs="Arial"/>
          <w:color w:val="auto"/>
          <w:szCs w:val="22"/>
        </w:rPr>
        <w:t xml:space="preserve"> local market area consists of the geographic area in which a substantial majority of contracting dollars are expended and/or where the substantial majority of contractor and</w:t>
      </w:r>
      <w:r w:rsidR="00A55768" w:rsidRPr="00AA59B5">
        <w:rPr>
          <w:rFonts w:ascii="Arial" w:eastAsia="Times New Roman" w:hAnsi="Arial" w:cs="Arial"/>
          <w:color w:val="auto"/>
          <w:szCs w:val="22"/>
        </w:rPr>
        <w:t xml:space="preserve"> </w:t>
      </w:r>
      <w:r w:rsidR="0034178D" w:rsidRPr="00AA59B5">
        <w:rPr>
          <w:rFonts w:ascii="Arial" w:eastAsia="Times New Roman" w:hAnsi="Arial" w:cs="Arial"/>
          <w:color w:val="auto"/>
          <w:szCs w:val="22"/>
        </w:rPr>
        <w:t xml:space="preserve">subcontractor bids or quotes are located. </w:t>
      </w:r>
    </w:p>
    <w:p w14:paraId="4E163231" w14:textId="77777777" w:rsidR="00175579" w:rsidRPr="00AA59B5" w:rsidRDefault="00175579" w:rsidP="0034178D">
      <w:pPr>
        <w:autoSpaceDE w:val="0"/>
        <w:autoSpaceDN w:val="0"/>
        <w:adjustRightInd w:val="0"/>
        <w:spacing w:after="0" w:line="240" w:lineRule="auto"/>
        <w:jc w:val="both"/>
        <w:rPr>
          <w:rFonts w:ascii="Arial" w:eastAsia="Times New Roman" w:hAnsi="Arial" w:cs="Arial"/>
          <w:color w:val="auto"/>
          <w:szCs w:val="22"/>
        </w:rPr>
      </w:pPr>
    </w:p>
    <w:p w14:paraId="449054BF" w14:textId="77777777" w:rsidR="002C41BD" w:rsidRPr="00AA59B5" w:rsidRDefault="002C41BD" w:rsidP="002C41BD">
      <w:pPr>
        <w:autoSpaceDE w:val="0"/>
        <w:autoSpaceDN w:val="0"/>
        <w:adjustRightInd w:val="0"/>
        <w:spacing w:after="0" w:line="240" w:lineRule="auto"/>
        <w:jc w:val="both"/>
        <w:rPr>
          <w:rFonts w:ascii="Arial" w:eastAsia="Times New Roman" w:hAnsi="Arial" w:cs="Arial"/>
          <w:color w:val="auto"/>
          <w:szCs w:val="22"/>
        </w:rPr>
      </w:pPr>
      <w:r w:rsidRPr="00AA59B5">
        <w:rPr>
          <w:rFonts w:ascii="Arial" w:eastAsia="Times New Roman" w:hAnsi="Arial" w:cs="Arial"/>
          <w:color w:val="auto"/>
          <w:szCs w:val="22"/>
        </w:rPr>
        <w:t xml:space="preserve">In accordance with the formula below, the Base Figure is derived by dividing the number of ready, </w:t>
      </w:r>
      <w:proofErr w:type="gramStart"/>
      <w:r w:rsidRPr="00AA59B5">
        <w:rPr>
          <w:rFonts w:ascii="Arial" w:eastAsia="Times New Roman" w:hAnsi="Arial" w:cs="Arial"/>
          <w:color w:val="auto"/>
          <w:szCs w:val="22"/>
        </w:rPr>
        <w:t>willing</w:t>
      </w:r>
      <w:proofErr w:type="gramEnd"/>
      <w:r w:rsidRPr="00AA59B5">
        <w:rPr>
          <w:rFonts w:ascii="Arial" w:eastAsia="Times New Roman" w:hAnsi="Arial" w:cs="Arial"/>
          <w:color w:val="auto"/>
          <w:szCs w:val="22"/>
        </w:rPr>
        <w:t xml:space="preserve"> and able DBE firms identified for each work category by the number of all firms identified for each corresponding work category (relative availability), weighting the relative availability for each work category by the corresponding work category weight from Table 2 (weighted ratio), and adding the weighted ratio figures together.</w:t>
      </w:r>
    </w:p>
    <w:p w14:paraId="70100025" w14:textId="77777777" w:rsidR="002C41BD" w:rsidRPr="00AA59B5" w:rsidRDefault="002C41BD" w:rsidP="00C63914">
      <w:pPr>
        <w:autoSpaceDE w:val="0"/>
        <w:autoSpaceDN w:val="0"/>
        <w:adjustRightInd w:val="0"/>
        <w:spacing w:after="0" w:line="240" w:lineRule="auto"/>
        <w:jc w:val="both"/>
        <w:rPr>
          <w:rFonts w:ascii="Arial" w:eastAsia="Times New Roman" w:hAnsi="Arial" w:cs="Arial"/>
          <w:color w:val="auto"/>
          <w:szCs w:val="22"/>
        </w:rPr>
      </w:pPr>
    </w:p>
    <w:p w14:paraId="30E286B3" w14:textId="77777777" w:rsidR="00844FEF" w:rsidRPr="00AA59B5" w:rsidRDefault="00844FEF" w:rsidP="00844FEF">
      <w:pPr>
        <w:spacing w:after="0" w:line="240" w:lineRule="auto"/>
        <w:rPr>
          <w:rFonts w:ascii="Arial" w:hAnsi="Arial" w:cs="Arial"/>
          <w:szCs w:val="22"/>
        </w:rPr>
      </w:pPr>
      <w:r w:rsidRPr="00AA59B5">
        <w:rPr>
          <w:rFonts w:ascii="Arial" w:eastAsia="Times New Roman" w:hAnsi="Arial" w:cs="Arial"/>
          <w:color w:val="auto"/>
          <w:szCs w:val="22"/>
        </w:rPr>
        <w:t xml:space="preserve">Base Figure = </w:t>
      </w:r>
      <w:r w:rsidRPr="00AA59B5">
        <w:rPr>
          <w:rFonts w:ascii="Arial" w:hAnsi="Arial" w:cs="Arial"/>
          <w:szCs w:val="22"/>
        </w:rPr>
        <w:t>∑</w:t>
      </w:r>
      <w:r w:rsidR="000D5DA9" w:rsidRPr="00AA59B5">
        <w:rPr>
          <w:rFonts w:ascii="Arial" w:hAnsi="Arial" w:cs="Arial"/>
          <w:szCs w:val="22"/>
        </w:rPr>
        <w:t xml:space="preserve"> </w:t>
      </w:r>
      <m:oMath>
        <m:f>
          <m:fPr>
            <m:ctrlPr>
              <w:rPr>
                <w:rFonts w:ascii="Cambria Math" w:hAnsi="Cambria Math" w:cs="Arial"/>
                <w:szCs w:val="22"/>
              </w:rPr>
            </m:ctrlPr>
          </m:fPr>
          <m:num>
            <m:r>
              <m:rPr>
                <m:sty m:val="p"/>
              </m:rPr>
              <w:rPr>
                <w:rFonts w:ascii="Cambria Math" w:hAnsi="Cambria Math" w:cs="Arial"/>
                <w:szCs w:val="22"/>
              </w:rPr>
              <m:t>(Number of Ready, Willing and Able DBEs)</m:t>
            </m:r>
          </m:num>
          <m:den>
            <m:r>
              <m:rPr>
                <m:sty m:val="p"/>
              </m:rPr>
              <w:rPr>
                <w:rFonts w:ascii="Cambria Math" w:hAnsi="Cambria Math" w:cs="Arial"/>
                <w:szCs w:val="22"/>
              </w:rPr>
              <m:t>Number of All Ready, Willing and Able Firms</m:t>
            </m:r>
          </m:den>
        </m:f>
        <m:r>
          <w:rPr>
            <w:rFonts w:ascii="Cambria Math" w:hAnsi="Cambria Math" w:cs="Arial"/>
            <w:szCs w:val="22"/>
          </w:rPr>
          <m:t>×weight</m:t>
        </m:r>
      </m:oMath>
    </w:p>
    <w:p w14:paraId="7D565338" w14:textId="77777777" w:rsidR="00844FEF" w:rsidRPr="00AA59B5" w:rsidRDefault="00844FEF" w:rsidP="00844FEF">
      <w:pPr>
        <w:autoSpaceDE w:val="0"/>
        <w:autoSpaceDN w:val="0"/>
        <w:adjustRightInd w:val="0"/>
        <w:spacing w:after="0" w:line="240" w:lineRule="auto"/>
        <w:jc w:val="both"/>
        <w:rPr>
          <w:rFonts w:ascii="Arial" w:eastAsia="Times New Roman" w:hAnsi="Arial" w:cs="Arial"/>
          <w:color w:val="auto"/>
          <w:szCs w:val="22"/>
        </w:rPr>
      </w:pPr>
    </w:p>
    <w:p w14:paraId="73C39582" w14:textId="77777777" w:rsidR="002C41BD" w:rsidRPr="00AA59B5" w:rsidRDefault="002C41BD" w:rsidP="002C41BD">
      <w:pPr>
        <w:tabs>
          <w:tab w:val="left" w:pos="2700"/>
        </w:tabs>
        <w:autoSpaceDE w:val="0"/>
        <w:autoSpaceDN w:val="0"/>
        <w:adjustRightInd w:val="0"/>
        <w:spacing w:after="0" w:line="240" w:lineRule="auto"/>
        <w:ind w:left="360"/>
        <w:jc w:val="both"/>
        <w:rPr>
          <w:rFonts w:ascii="Arial" w:eastAsia="Times New Roman" w:hAnsi="Arial" w:cs="Arial"/>
          <w:color w:val="auto"/>
          <w:szCs w:val="22"/>
        </w:rPr>
      </w:pPr>
      <w:r w:rsidRPr="00AA59B5">
        <w:rPr>
          <w:rFonts w:ascii="Arial" w:eastAsia="Times New Roman" w:hAnsi="Arial" w:cs="Arial"/>
          <w:color w:val="auto"/>
          <w:szCs w:val="22"/>
        </w:rPr>
        <w:sym w:font="Wingdings" w:char="F0F0"/>
      </w:r>
      <w:r w:rsidRPr="00AA59B5">
        <w:rPr>
          <w:rFonts w:ascii="Arial" w:eastAsia="Times New Roman" w:hAnsi="Arial" w:cs="Arial"/>
          <w:color w:val="auto"/>
          <w:szCs w:val="22"/>
        </w:rPr>
        <w:t xml:space="preserve"> For the numerator: </w:t>
      </w:r>
      <w:r w:rsidRPr="00AA59B5">
        <w:rPr>
          <w:rFonts w:ascii="Arial" w:eastAsia="Times New Roman" w:hAnsi="Arial" w:cs="Arial"/>
          <w:color w:val="auto"/>
          <w:szCs w:val="22"/>
        </w:rPr>
        <w:tab/>
        <w:t>CUCP DBE Database of Certified Firms</w:t>
      </w:r>
    </w:p>
    <w:p w14:paraId="314B9A55" w14:textId="178AB9E5" w:rsidR="002C41BD" w:rsidRPr="00AA59B5" w:rsidRDefault="002C41BD" w:rsidP="002C41BD">
      <w:pPr>
        <w:tabs>
          <w:tab w:val="left" w:pos="2700"/>
        </w:tabs>
        <w:autoSpaceDE w:val="0"/>
        <w:autoSpaceDN w:val="0"/>
        <w:adjustRightInd w:val="0"/>
        <w:spacing w:after="0" w:line="240" w:lineRule="auto"/>
        <w:ind w:left="360"/>
        <w:jc w:val="both"/>
        <w:rPr>
          <w:rFonts w:ascii="Arial" w:eastAsia="Times New Roman" w:hAnsi="Arial" w:cs="Arial"/>
          <w:color w:val="auto"/>
          <w:szCs w:val="22"/>
        </w:rPr>
      </w:pPr>
      <w:r w:rsidRPr="00AA59B5">
        <w:rPr>
          <w:rFonts w:ascii="Arial" w:eastAsia="Times New Roman" w:hAnsi="Arial" w:cs="Arial"/>
          <w:color w:val="auto"/>
          <w:szCs w:val="22"/>
        </w:rPr>
        <w:sym w:font="Wingdings" w:char="F0F0"/>
      </w:r>
      <w:r w:rsidRPr="00AA59B5">
        <w:rPr>
          <w:rFonts w:ascii="Arial" w:eastAsia="Times New Roman" w:hAnsi="Arial" w:cs="Arial"/>
          <w:color w:val="auto"/>
          <w:szCs w:val="22"/>
        </w:rPr>
        <w:t xml:space="preserve"> For the denominator:</w:t>
      </w:r>
      <w:r w:rsidRPr="00AA59B5">
        <w:rPr>
          <w:rFonts w:ascii="Arial" w:eastAsia="Times New Roman" w:hAnsi="Arial" w:cs="Arial"/>
          <w:color w:val="auto"/>
          <w:szCs w:val="22"/>
        </w:rPr>
        <w:tab/>
        <w:t>20</w:t>
      </w:r>
      <w:r w:rsidR="00FE135F" w:rsidRPr="00AA59B5">
        <w:rPr>
          <w:rFonts w:ascii="Arial" w:eastAsia="Times New Roman" w:hAnsi="Arial" w:cs="Arial"/>
          <w:color w:val="auto"/>
          <w:szCs w:val="22"/>
        </w:rPr>
        <w:t>1</w:t>
      </w:r>
      <w:r w:rsidR="00D958AB">
        <w:rPr>
          <w:rFonts w:ascii="Arial" w:eastAsia="Times New Roman" w:hAnsi="Arial" w:cs="Arial"/>
          <w:color w:val="auto"/>
          <w:szCs w:val="22"/>
        </w:rPr>
        <w:t>8</w:t>
      </w:r>
      <w:r w:rsidRPr="00AA59B5">
        <w:rPr>
          <w:rFonts w:ascii="Arial" w:eastAsia="Times New Roman" w:hAnsi="Arial" w:cs="Arial"/>
          <w:color w:val="auto"/>
          <w:szCs w:val="22"/>
        </w:rPr>
        <w:t xml:space="preserve"> U.S. Census Bureau’s Business Patterns Database</w:t>
      </w:r>
    </w:p>
    <w:p w14:paraId="3C6C7D54" w14:textId="77777777" w:rsidR="00D40390" w:rsidRPr="00AA59B5" w:rsidRDefault="00D40390" w:rsidP="000D5DA9">
      <w:pPr>
        <w:autoSpaceDE w:val="0"/>
        <w:autoSpaceDN w:val="0"/>
        <w:adjustRightInd w:val="0"/>
        <w:spacing w:after="0" w:line="240" w:lineRule="auto"/>
        <w:jc w:val="both"/>
        <w:rPr>
          <w:rFonts w:ascii="Arial" w:eastAsia="Times New Roman" w:hAnsi="Arial" w:cs="Arial"/>
          <w:color w:val="auto"/>
          <w:szCs w:val="22"/>
        </w:rPr>
      </w:pPr>
    </w:p>
    <w:p w14:paraId="2910E02D" w14:textId="6E27A41D" w:rsidR="00D012BA" w:rsidRPr="00AA59B5" w:rsidRDefault="002C41BD" w:rsidP="000D5DA9">
      <w:pPr>
        <w:autoSpaceDE w:val="0"/>
        <w:autoSpaceDN w:val="0"/>
        <w:adjustRightInd w:val="0"/>
        <w:spacing w:after="0" w:line="240" w:lineRule="auto"/>
        <w:jc w:val="both"/>
        <w:rPr>
          <w:rFonts w:ascii="Arial" w:eastAsia="Times New Roman" w:hAnsi="Arial" w:cs="Arial"/>
          <w:color w:val="auto"/>
          <w:szCs w:val="22"/>
        </w:rPr>
      </w:pPr>
      <w:r w:rsidRPr="00AA59B5">
        <w:rPr>
          <w:rFonts w:ascii="Arial" w:eastAsia="Times New Roman" w:hAnsi="Arial" w:cs="Arial"/>
          <w:color w:val="auto"/>
          <w:szCs w:val="22"/>
        </w:rPr>
        <w:t>A concerted effort was made to ensure that the scope of businesses included in the numerator was as close as possible to the scope included in the denominator. For corresponding detail of all work category classifications, refer to Attachments I and II.</w:t>
      </w:r>
      <w:r w:rsidR="00526EBA" w:rsidRPr="00AA59B5">
        <w:rPr>
          <w:rFonts w:ascii="Arial" w:eastAsia="Times New Roman" w:hAnsi="Arial" w:cs="Arial"/>
          <w:color w:val="auto"/>
          <w:szCs w:val="22"/>
        </w:rPr>
        <w:t xml:space="preserve">  </w:t>
      </w:r>
      <w:r w:rsidR="00D012BA" w:rsidRPr="00AA59B5">
        <w:rPr>
          <w:rFonts w:ascii="Arial" w:eastAsia="Times New Roman" w:hAnsi="Arial" w:cs="Arial"/>
          <w:color w:val="auto"/>
          <w:szCs w:val="22"/>
        </w:rPr>
        <w:t xml:space="preserve">The result of the Base Figure calculation is </w:t>
      </w:r>
      <w:r w:rsidR="00372542">
        <w:rPr>
          <w:rFonts w:ascii="Arial" w:eastAsia="Times New Roman" w:hAnsi="Arial" w:cs="Arial"/>
          <w:color w:val="auto"/>
          <w:szCs w:val="22"/>
        </w:rPr>
        <w:t>7.37</w:t>
      </w:r>
      <w:r w:rsidR="00D012BA" w:rsidRPr="00AA59B5">
        <w:rPr>
          <w:rFonts w:ascii="Arial" w:eastAsia="Times New Roman" w:hAnsi="Arial" w:cs="Arial"/>
          <w:color w:val="auto"/>
          <w:szCs w:val="22"/>
        </w:rPr>
        <w:t xml:space="preserve">%, as shown in Table </w:t>
      </w:r>
      <w:r w:rsidR="00F12958" w:rsidRPr="00AA59B5">
        <w:rPr>
          <w:rFonts w:ascii="Arial" w:eastAsia="Times New Roman" w:hAnsi="Arial" w:cs="Arial"/>
          <w:color w:val="auto"/>
          <w:szCs w:val="22"/>
        </w:rPr>
        <w:t>3</w:t>
      </w:r>
      <w:r w:rsidR="00D012BA" w:rsidRPr="00AA59B5">
        <w:rPr>
          <w:rFonts w:ascii="Arial" w:eastAsia="Times New Roman" w:hAnsi="Arial" w:cs="Arial"/>
          <w:color w:val="auto"/>
          <w:szCs w:val="22"/>
        </w:rPr>
        <w:t xml:space="preserve"> as follows:</w:t>
      </w:r>
    </w:p>
    <w:p w14:paraId="0774DDF7" w14:textId="77777777" w:rsidR="00B746C2" w:rsidRPr="00AA59B5" w:rsidRDefault="00B746C2" w:rsidP="000D5DA9">
      <w:pPr>
        <w:autoSpaceDE w:val="0"/>
        <w:autoSpaceDN w:val="0"/>
        <w:adjustRightInd w:val="0"/>
        <w:spacing w:after="0" w:line="240" w:lineRule="auto"/>
        <w:jc w:val="both"/>
        <w:rPr>
          <w:rFonts w:ascii="Arial" w:eastAsia="Times New Roman" w:hAnsi="Arial" w:cs="Arial"/>
          <w:color w:val="auto"/>
          <w:szCs w:val="22"/>
        </w:rPr>
      </w:pPr>
    </w:p>
    <w:p w14:paraId="29740860" w14:textId="77777777" w:rsidR="00316306" w:rsidRPr="00AA59B5" w:rsidRDefault="00D012BA" w:rsidP="000D5DA9">
      <w:pPr>
        <w:autoSpaceDE w:val="0"/>
        <w:autoSpaceDN w:val="0"/>
        <w:adjustRightInd w:val="0"/>
        <w:spacing w:after="0" w:line="240" w:lineRule="auto"/>
        <w:jc w:val="both"/>
        <w:rPr>
          <w:rFonts w:ascii="Arial" w:eastAsia="Times New Roman" w:hAnsi="Arial" w:cs="Arial"/>
          <w:b/>
          <w:color w:val="auto"/>
          <w:szCs w:val="22"/>
        </w:rPr>
      </w:pPr>
      <w:r w:rsidRPr="00AA59B5">
        <w:rPr>
          <w:rFonts w:ascii="Arial" w:eastAsia="Times New Roman" w:hAnsi="Arial" w:cs="Arial"/>
          <w:b/>
          <w:color w:val="auto"/>
          <w:szCs w:val="22"/>
        </w:rPr>
        <w:t xml:space="preserve">Table </w:t>
      </w:r>
      <w:r w:rsidR="00F12958" w:rsidRPr="00AA59B5">
        <w:rPr>
          <w:rFonts w:ascii="Arial" w:eastAsia="Times New Roman" w:hAnsi="Arial" w:cs="Arial"/>
          <w:b/>
          <w:color w:val="auto"/>
          <w:szCs w:val="22"/>
        </w:rPr>
        <w:t>3</w:t>
      </w:r>
    </w:p>
    <w:tbl>
      <w:tblPr>
        <w:tblStyle w:val="LightShading-Accent1"/>
        <w:tblW w:w="10753" w:type="dxa"/>
        <w:tblInd w:w="-612" w:type="dxa"/>
        <w:tblLook w:val="04A0" w:firstRow="1" w:lastRow="0" w:firstColumn="1" w:lastColumn="0" w:noHBand="0" w:noVBand="1"/>
      </w:tblPr>
      <w:tblGrid>
        <w:gridCol w:w="6158"/>
        <w:gridCol w:w="828"/>
        <w:gridCol w:w="902"/>
        <w:gridCol w:w="1463"/>
        <w:gridCol w:w="1402"/>
      </w:tblGrid>
      <w:tr w:rsidR="009A4750" w:rsidRPr="00AA59B5" w14:paraId="37B0EE42" w14:textId="77777777" w:rsidTr="00086DB3">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6158" w:type="dxa"/>
            <w:shd w:val="clear" w:color="auto" w:fill="365F91" w:themeFill="accent1" w:themeFillShade="BF"/>
            <w:vAlign w:val="center"/>
            <w:hideMark/>
          </w:tcPr>
          <w:p w14:paraId="637214D4" w14:textId="77777777" w:rsidR="00316306" w:rsidRPr="00AA59B5" w:rsidRDefault="00316306" w:rsidP="0050231A">
            <w:pPr>
              <w:spacing w:after="0" w:line="240" w:lineRule="auto"/>
              <w:rPr>
                <w:rFonts w:ascii="Arial" w:eastAsia="Times New Roman" w:hAnsi="Arial" w:cs="Arial"/>
                <w:bCs w:val="0"/>
                <w:color w:val="FFFFFF" w:themeColor="background1"/>
                <w:szCs w:val="22"/>
              </w:rPr>
            </w:pPr>
            <w:r w:rsidRPr="00AA59B5">
              <w:rPr>
                <w:rFonts w:ascii="Arial" w:eastAsia="Times New Roman" w:hAnsi="Arial" w:cs="Arial"/>
                <w:bCs w:val="0"/>
                <w:color w:val="FFFFFF" w:themeColor="background1"/>
                <w:szCs w:val="22"/>
              </w:rPr>
              <w:t>C</w:t>
            </w:r>
            <w:r w:rsidR="002C41BD" w:rsidRPr="00AA59B5">
              <w:rPr>
                <w:rFonts w:ascii="Arial" w:eastAsia="Times New Roman" w:hAnsi="Arial" w:cs="Arial"/>
                <w:bCs w:val="0"/>
                <w:color w:val="FFFFFF" w:themeColor="background1"/>
                <w:szCs w:val="22"/>
              </w:rPr>
              <w:t>ATEGORY OF WORK</w:t>
            </w:r>
          </w:p>
        </w:tc>
        <w:tc>
          <w:tcPr>
            <w:tcW w:w="828" w:type="dxa"/>
            <w:shd w:val="clear" w:color="auto" w:fill="365F91" w:themeFill="accent1" w:themeFillShade="BF"/>
            <w:hideMark/>
          </w:tcPr>
          <w:p w14:paraId="2A95ED92" w14:textId="77777777" w:rsidR="00316306" w:rsidRPr="00AA59B5" w:rsidRDefault="00316306" w:rsidP="00526EB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Cs w:val="22"/>
              </w:rPr>
            </w:pPr>
            <w:r w:rsidRPr="00AA59B5">
              <w:rPr>
                <w:rFonts w:ascii="Arial" w:eastAsia="Times New Roman" w:hAnsi="Arial" w:cs="Arial"/>
                <w:bCs w:val="0"/>
                <w:color w:val="FFFFFF" w:themeColor="background1"/>
                <w:szCs w:val="22"/>
              </w:rPr>
              <w:t>DBE</w:t>
            </w:r>
            <w:r w:rsidR="002C41BD" w:rsidRPr="00AA59B5">
              <w:rPr>
                <w:rFonts w:ascii="Arial" w:eastAsia="Times New Roman" w:hAnsi="Arial" w:cs="Arial"/>
                <w:bCs w:val="0"/>
                <w:color w:val="FFFFFF" w:themeColor="background1"/>
                <w:szCs w:val="22"/>
              </w:rPr>
              <w:t>S</w:t>
            </w:r>
          </w:p>
        </w:tc>
        <w:tc>
          <w:tcPr>
            <w:tcW w:w="902" w:type="dxa"/>
            <w:shd w:val="clear" w:color="auto" w:fill="365F91" w:themeFill="accent1" w:themeFillShade="BF"/>
            <w:hideMark/>
          </w:tcPr>
          <w:p w14:paraId="54C7CABC" w14:textId="77777777" w:rsidR="00316306" w:rsidRPr="00AA59B5" w:rsidRDefault="00316306" w:rsidP="00526EB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Cs w:val="22"/>
              </w:rPr>
            </w:pPr>
            <w:r w:rsidRPr="00AA59B5">
              <w:rPr>
                <w:rFonts w:ascii="Arial" w:eastAsia="Times New Roman" w:hAnsi="Arial" w:cs="Arial"/>
                <w:bCs w:val="0"/>
                <w:color w:val="FFFFFF" w:themeColor="background1"/>
                <w:szCs w:val="22"/>
              </w:rPr>
              <w:t>A</w:t>
            </w:r>
            <w:r w:rsidR="002C41BD" w:rsidRPr="00AA59B5">
              <w:rPr>
                <w:rFonts w:ascii="Arial" w:eastAsia="Times New Roman" w:hAnsi="Arial" w:cs="Arial"/>
                <w:bCs w:val="0"/>
                <w:color w:val="FFFFFF" w:themeColor="background1"/>
                <w:szCs w:val="22"/>
              </w:rPr>
              <w:t>LL</w:t>
            </w:r>
            <w:r w:rsidRPr="00AA59B5">
              <w:rPr>
                <w:rFonts w:ascii="Arial" w:eastAsia="Times New Roman" w:hAnsi="Arial" w:cs="Arial"/>
                <w:bCs w:val="0"/>
                <w:color w:val="FFFFFF" w:themeColor="background1"/>
                <w:szCs w:val="22"/>
              </w:rPr>
              <w:t xml:space="preserve"> F</w:t>
            </w:r>
            <w:r w:rsidR="002C41BD" w:rsidRPr="00AA59B5">
              <w:rPr>
                <w:rFonts w:ascii="Arial" w:eastAsia="Times New Roman" w:hAnsi="Arial" w:cs="Arial"/>
                <w:bCs w:val="0"/>
                <w:color w:val="FFFFFF" w:themeColor="background1"/>
                <w:szCs w:val="22"/>
              </w:rPr>
              <w:t>IRMS</w:t>
            </w:r>
          </w:p>
        </w:tc>
        <w:tc>
          <w:tcPr>
            <w:tcW w:w="1463" w:type="dxa"/>
            <w:shd w:val="clear" w:color="auto" w:fill="365F91" w:themeFill="accent1" w:themeFillShade="BF"/>
            <w:hideMark/>
          </w:tcPr>
          <w:p w14:paraId="0FB98031" w14:textId="77777777" w:rsidR="00316306" w:rsidRPr="00AA59B5" w:rsidRDefault="00316306" w:rsidP="00526EB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Cs w:val="22"/>
              </w:rPr>
            </w:pPr>
            <w:r w:rsidRPr="00AA59B5">
              <w:rPr>
                <w:rFonts w:ascii="Arial" w:eastAsia="Times New Roman" w:hAnsi="Arial" w:cs="Arial"/>
                <w:bCs w:val="0"/>
                <w:color w:val="FFFFFF" w:themeColor="background1"/>
                <w:szCs w:val="22"/>
              </w:rPr>
              <w:t>C</w:t>
            </w:r>
            <w:r w:rsidR="002C41BD" w:rsidRPr="00AA59B5">
              <w:rPr>
                <w:rFonts w:ascii="Arial" w:eastAsia="Times New Roman" w:hAnsi="Arial" w:cs="Arial"/>
                <w:bCs w:val="0"/>
                <w:color w:val="FFFFFF" w:themeColor="background1"/>
                <w:szCs w:val="22"/>
              </w:rPr>
              <w:t>ATEGORY WEIGHT</w:t>
            </w:r>
          </w:p>
        </w:tc>
        <w:tc>
          <w:tcPr>
            <w:tcW w:w="1402" w:type="dxa"/>
            <w:shd w:val="clear" w:color="auto" w:fill="365F91" w:themeFill="accent1" w:themeFillShade="BF"/>
            <w:hideMark/>
          </w:tcPr>
          <w:p w14:paraId="5A778EDF" w14:textId="77777777" w:rsidR="00316306" w:rsidRPr="00AA59B5" w:rsidRDefault="00316306" w:rsidP="00526EB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Cs w:val="22"/>
              </w:rPr>
            </w:pPr>
            <w:r w:rsidRPr="00AA59B5">
              <w:rPr>
                <w:rFonts w:ascii="Arial" w:eastAsia="Times New Roman" w:hAnsi="Arial" w:cs="Arial"/>
                <w:bCs w:val="0"/>
                <w:color w:val="FFFFFF" w:themeColor="background1"/>
                <w:szCs w:val="22"/>
              </w:rPr>
              <w:t>W</w:t>
            </w:r>
            <w:r w:rsidR="002C41BD" w:rsidRPr="00AA59B5">
              <w:rPr>
                <w:rFonts w:ascii="Arial" w:eastAsia="Times New Roman" w:hAnsi="Arial" w:cs="Arial"/>
                <w:bCs w:val="0"/>
                <w:color w:val="FFFFFF" w:themeColor="background1"/>
                <w:szCs w:val="22"/>
              </w:rPr>
              <w:t>EIGHTED RATIO</w:t>
            </w:r>
          </w:p>
        </w:tc>
      </w:tr>
      <w:tr w:rsidR="005547CC" w:rsidRPr="00AA59B5" w14:paraId="3F29EF8A" w14:textId="77777777" w:rsidTr="00086DB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158" w:type="dxa"/>
            <w:vAlign w:val="center"/>
          </w:tcPr>
          <w:p w14:paraId="19B12D60" w14:textId="77777777" w:rsidR="005547CC" w:rsidRPr="00823FCF" w:rsidRDefault="005547CC" w:rsidP="005547CC">
            <w:pPr>
              <w:spacing w:after="0" w:line="240" w:lineRule="auto"/>
              <w:rPr>
                <w:rFonts w:ascii="Arial" w:hAnsi="Arial" w:cs="Arial"/>
                <w:b w:val="0"/>
                <w:szCs w:val="22"/>
              </w:rPr>
            </w:pPr>
            <w:r>
              <w:rPr>
                <w:rFonts w:ascii="Arial" w:hAnsi="Arial" w:cs="Arial"/>
                <w:b w:val="0"/>
                <w:szCs w:val="22"/>
              </w:rPr>
              <w:t>Bus and Other Motor Vehicle Transit Systems</w:t>
            </w:r>
          </w:p>
        </w:tc>
        <w:tc>
          <w:tcPr>
            <w:tcW w:w="828" w:type="dxa"/>
          </w:tcPr>
          <w:p w14:paraId="3D2675B8" w14:textId="0E5738C4" w:rsidR="005547CC" w:rsidRDefault="008953FD" w:rsidP="008205A3">
            <w:pPr>
              <w:spacing w:before="20" w:after="2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3</w:t>
            </w:r>
          </w:p>
        </w:tc>
        <w:tc>
          <w:tcPr>
            <w:tcW w:w="902" w:type="dxa"/>
          </w:tcPr>
          <w:p w14:paraId="077EF661" w14:textId="378FBD18" w:rsidR="00730EC4" w:rsidRDefault="008953FD" w:rsidP="00730EC4">
            <w:pPr>
              <w:spacing w:before="20" w:after="2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56</w:t>
            </w:r>
          </w:p>
        </w:tc>
        <w:tc>
          <w:tcPr>
            <w:tcW w:w="1463" w:type="dxa"/>
          </w:tcPr>
          <w:p w14:paraId="2CBE953F" w14:textId="504039C6" w:rsidR="005547CC" w:rsidRDefault="008953FD" w:rsidP="00730EC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.0537</w:t>
            </w:r>
          </w:p>
        </w:tc>
        <w:tc>
          <w:tcPr>
            <w:tcW w:w="1402" w:type="dxa"/>
          </w:tcPr>
          <w:p w14:paraId="26705998" w14:textId="6D4B09B0" w:rsidR="005547CC" w:rsidRDefault="008953FD" w:rsidP="00730EC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5.37%</w:t>
            </w:r>
          </w:p>
        </w:tc>
      </w:tr>
      <w:tr w:rsidR="005547CC" w:rsidRPr="00AA59B5" w14:paraId="6495F245" w14:textId="77777777" w:rsidTr="00A768D7">
        <w:trPr>
          <w:trHeight w:val="639"/>
        </w:trPr>
        <w:tc>
          <w:tcPr>
            <w:cnfStyle w:val="001000000000" w:firstRow="0" w:lastRow="0" w:firstColumn="1" w:lastColumn="0" w:oddVBand="0" w:evenVBand="0" w:oddHBand="0" w:evenHBand="0" w:firstRowFirstColumn="0" w:firstRowLastColumn="0" w:lastRowFirstColumn="0" w:lastRowLastColumn="0"/>
            <w:tcW w:w="6158" w:type="dxa"/>
            <w:vAlign w:val="center"/>
          </w:tcPr>
          <w:p w14:paraId="46D75A5F" w14:textId="0C583664" w:rsidR="005547CC" w:rsidRPr="00461327" w:rsidRDefault="0067724F" w:rsidP="0067724F">
            <w:pPr>
              <w:spacing w:after="0" w:line="240" w:lineRule="auto"/>
              <w:rPr>
                <w:rFonts w:ascii="Arial" w:hAnsi="Arial" w:cs="Arial"/>
                <w:b w:val="0"/>
                <w:szCs w:val="22"/>
              </w:rPr>
            </w:pPr>
            <w:r>
              <w:rPr>
                <w:rFonts w:ascii="Arial" w:hAnsi="Arial" w:cs="Arial"/>
                <w:b w:val="0"/>
                <w:szCs w:val="22"/>
              </w:rPr>
              <w:t>Lessors of Nonresidential Buildings (Except Mini warehouses)</w:t>
            </w:r>
          </w:p>
        </w:tc>
        <w:tc>
          <w:tcPr>
            <w:tcW w:w="828" w:type="dxa"/>
          </w:tcPr>
          <w:p w14:paraId="4EB2D52A" w14:textId="3D93C360" w:rsidR="005547CC" w:rsidRDefault="008953FD" w:rsidP="008205A3">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5</w:t>
            </w:r>
          </w:p>
        </w:tc>
        <w:tc>
          <w:tcPr>
            <w:tcW w:w="902" w:type="dxa"/>
          </w:tcPr>
          <w:p w14:paraId="3DA88041" w14:textId="7DAF0B58" w:rsidR="005547CC" w:rsidRDefault="008953FD" w:rsidP="00730EC4">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1954</w:t>
            </w:r>
          </w:p>
        </w:tc>
        <w:tc>
          <w:tcPr>
            <w:tcW w:w="1463" w:type="dxa"/>
          </w:tcPr>
          <w:p w14:paraId="044D08D8" w14:textId="45CB71D0" w:rsidR="005547CC" w:rsidRDefault="00730EC4" w:rsidP="00730EC4">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w:t>
            </w:r>
            <w:r w:rsidR="008953FD">
              <w:rPr>
                <w:rFonts w:ascii="Arial" w:hAnsi="Arial" w:cs="Arial"/>
                <w:szCs w:val="22"/>
              </w:rPr>
              <w:t>0025</w:t>
            </w:r>
          </w:p>
        </w:tc>
        <w:tc>
          <w:tcPr>
            <w:tcW w:w="1402" w:type="dxa"/>
          </w:tcPr>
          <w:p w14:paraId="1A590809" w14:textId="137EF0D5" w:rsidR="005547CC" w:rsidRDefault="008953FD" w:rsidP="00730EC4">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.25</w:t>
            </w:r>
            <w:r w:rsidR="00E70F88">
              <w:rPr>
                <w:rFonts w:ascii="Arial" w:hAnsi="Arial" w:cs="Arial"/>
                <w:szCs w:val="22"/>
              </w:rPr>
              <w:t>%</w:t>
            </w:r>
          </w:p>
        </w:tc>
      </w:tr>
      <w:tr w:rsidR="008205A3" w:rsidRPr="00AA59B5" w14:paraId="52E159CD" w14:textId="77777777" w:rsidTr="00EF0097">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6158" w:type="dxa"/>
            <w:vAlign w:val="center"/>
          </w:tcPr>
          <w:p w14:paraId="677C3953" w14:textId="67C3FD54" w:rsidR="008205A3" w:rsidRPr="008205A3" w:rsidRDefault="00A768D7" w:rsidP="005547CC">
            <w:pPr>
              <w:rPr>
                <w:rFonts w:ascii="Arial" w:hAnsi="Arial" w:cs="Arial"/>
                <w:b w:val="0"/>
                <w:szCs w:val="22"/>
              </w:rPr>
            </w:pPr>
            <w:r>
              <w:rPr>
                <w:rFonts w:ascii="Arial" w:hAnsi="Arial" w:cs="Arial"/>
                <w:b w:val="0"/>
                <w:bCs w:val="0"/>
              </w:rPr>
              <w:t>Commercial and Institutional Building Construction (Includes Bus Shelter Construction)</w:t>
            </w:r>
          </w:p>
        </w:tc>
        <w:tc>
          <w:tcPr>
            <w:tcW w:w="828" w:type="dxa"/>
          </w:tcPr>
          <w:p w14:paraId="23B01373" w14:textId="3A52C814" w:rsidR="008205A3" w:rsidRDefault="008953FD" w:rsidP="008205A3">
            <w:pPr>
              <w:spacing w:before="20" w:after="2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205</w:t>
            </w:r>
          </w:p>
        </w:tc>
        <w:tc>
          <w:tcPr>
            <w:tcW w:w="902" w:type="dxa"/>
          </w:tcPr>
          <w:p w14:paraId="34E6E4A4" w14:textId="1638FD4F" w:rsidR="008205A3" w:rsidRDefault="008953FD" w:rsidP="00730EC4">
            <w:pPr>
              <w:spacing w:before="20" w:after="2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1390</w:t>
            </w:r>
          </w:p>
        </w:tc>
        <w:tc>
          <w:tcPr>
            <w:tcW w:w="1463" w:type="dxa"/>
          </w:tcPr>
          <w:p w14:paraId="18DE3475" w14:textId="4A9EC72B" w:rsidR="008205A3" w:rsidRDefault="00730EC4" w:rsidP="00730EC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w:t>
            </w:r>
            <w:r w:rsidR="008953FD">
              <w:rPr>
                <w:rFonts w:ascii="Arial" w:hAnsi="Arial" w:cs="Arial"/>
                <w:szCs w:val="22"/>
              </w:rPr>
              <w:t>1474</w:t>
            </w:r>
          </w:p>
        </w:tc>
        <w:tc>
          <w:tcPr>
            <w:tcW w:w="1402" w:type="dxa"/>
          </w:tcPr>
          <w:p w14:paraId="1F8F2DEB" w14:textId="246DC85F" w:rsidR="008205A3" w:rsidRDefault="008953FD" w:rsidP="00730EC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14.74</w:t>
            </w:r>
            <w:r w:rsidR="00A768D7">
              <w:rPr>
                <w:rFonts w:ascii="Arial" w:hAnsi="Arial" w:cs="Arial"/>
                <w:szCs w:val="22"/>
              </w:rPr>
              <w:t>%</w:t>
            </w:r>
          </w:p>
        </w:tc>
      </w:tr>
      <w:tr w:rsidR="008205A3" w:rsidRPr="00AA59B5" w14:paraId="556FE5B1" w14:textId="77777777" w:rsidTr="008205A3">
        <w:trPr>
          <w:trHeight w:val="540"/>
        </w:trPr>
        <w:tc>
          <w:tcPr>
            <w:cnfStyle w:val="001000000000" w:firstRow="0" w:lastRow="0" w:firstColumn="1" w:lastColumn="0" w:oddVBand="0" w:evenVBand="0" w:oddHBand="0" w:evenHBand="0" w:firstRowFirstColumn="0" w:firstRowLastColumn="0" w:lastRowFirstColumn="0" w:lastRowLastColumn="0"/>
            <w:tcW w:w="6158" w:type="dxa"/>
            <w:vAlign w:val="center"/>
          </w:tcPr>
          <w:p w14:paraId="2A3EE79D" w14:textId="7B3C4EB4" w:rsidR="008205A3" w:rsidRPr="008205A3" w:rsidRDefault="00A768D7" w:rsidP="00A768D7">
            <w:pPr>
              <w:spacing w:after="0" w:line="240" w:lineRule="auto"/>
              <w:rPr>
                <w:rFonts w:ascii="Arial" w:hAnsi="Arial" w:cs="Arial"/>
                <w:b w:val="0"/>
                <w:szCs w:val="22"/>
              </w:rPr>
            </w:pPr>
            <w:r>
              <w:rPr>
                <w:rFonts w:ascii="Arial" w:hAnsi="Arial" w:cs="Arial"/>
                <w:b w:val="0"/>
                <w:szCs w:val="22"/>
              </w:rPr>
              <w:t>Oil and Gas Pipeline and Related Structures Construction</w:t>
            </w:r>
          </w:p>
        </w:tc>
        <w:tc>
          <w:tcPr>
            <w:tcW w:w="828" w:type="dxa"/>
          </w:tcPr>
          <w:p w14:paraId="4A483937" w14:textId="795A43E5" w:rsidR="008205A3" w:rsidRDefault="008953FD" w:rsidP="00A768D7">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17</w:t>
            </w:r>
          </w:p>
        </w:tc>
        <w:tc>
          <w:tcPr>
            <w:tcW w:w="902" w:type="dxa"/>
          </w:tcPr>
          <w:p w14:paraId="4FC7E240" w14:textId="4FFF038C" w:rsidR="008205A3" w:rsidRDefault="00EF0097" w:rsidP="00730EC4">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55</w:t>
            </w:r>
          </w:p>
        </w:tc>
        <w:tc>
          <w:tcPr>
            <w:tcW w:w="1463" w:type="dxa"/>
          </w:tcPr>
          <w:p w14:paraId="423F80F9" w14:textId="04CD3755" w:rsidR="008205A3" w:rsidRDefault="00730EC4" w:rsidP="00730EC4">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w:t>
            </w:r>
            <w:r w:rsidR="007F4723">
              <w:rPr>
                <w:rFonts w:ascii="Arial" w:hAnsi="Arial" w:cs="Arial"/>
                <w:szCs w:val="22"/>
              </w:rPr>
              <w:t>3090</w:t>
            </w:r>
          </w:p>
        </w:tc>
        <w:tc>
          <w:tcPr>
            <w:tcW w:w="1402" w:type="dxa"/>
          </w:tcPr>
          <w:p w14:paraId="1943B47D" w14:textId="65F07AC2" w:rsidR="008205A3" w:rsidRDefault="007F4723" w:rsidP="00730EC4">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30.90</w:t>
            </w:r>
            <w:r w:rsidR="008B476E">
              <w:rPr>
                <w:rFonts w:ascii="Arial" w:hAnsi="Arial" w:cs="Arial"/>
                <w:szCs w:val="22"/>
              </w:rPr>
              <w:t>%</w:t>
            </w:r>
          </w:p>
        </w:tc>
      </w:tr>
      <w:tr w:rsidR="00BA008E" w:rsidRPr="00AA59B5" w14:paraId="005E7743" w14:textId="77777777" w:rsidTr="008205A3">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158" w:type="dxa"/>
            <w:vAlign w:val="center"/>
          </w:tcPr>
          <w:p w14:paraId="40CB9FAD" w14:textId="674678F0" w:rsidR="00BA008E" w:rsidRPr="00AA59B5" w:rsidRDefault="008B476E" w:rsidP="00BA008E">
            <w:pPr>
              <w:rPr>
                <w:rFonts w:ascii="Arial" w:hAnsi="Arial" w:cs="Arial"/>
                <w:b w:val="0"/>
                <w:szCs w:val="22"/>
              </w:rPr>
            </w:pPr>
            <w:r>
              <w:rPr>
                <w:rFonts w:cs="Arial"/>
                <w:b w:val="0"/>
                <w:bCs w:val="0"/>
              </w:rPr>
              <w:lastRenderedPageBreak/>
              <w:t>Computer Systems Design Services</w:t>
            </w:r>
          </w:p>
        </w:tc>
        <w:tc>
          <w:tcPr>
            <w:tcW w:w="828" w:type="dxa"/>
          </w:tcPr>
          <w:p w14:paraId="5EB98AA9" w14:textId="7D8ABF6B" w:rsidR="00BA008E" w:rsidRDefault="008B476E" w:rsidP="00BA008E">
            <w:pPr>
              <w:spacing w:before="20" w:after="2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238</w:t>
            </w:r>
          </w:p>
        </w:tc>
        <w:tc>
          <w:tcPr>
            <w:tcW w:w="902" w:type="dxa"/>
          </w:tcPr>
          <w:p w14:paraId="0F0954EE" w14:textId="5C3728A8" w:rsidR="00BA008E" w:rsidRPr="00AA59B5" w:rsidRDefault="007F4723" w:rsidP="00730EC4">
            <w:pPr>
              <w:spacing w:before="20" w:after="2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472</w:t>
            </w:r>
          </w:p>
        </w:tc>
        <w:tc>
          <w:tcPr>
            <w:tcW w:w="1463" w:type="dxa"/>
          </w:tcPr>
          <w:p w14:paraId="740BF8A3" w14:textId="7A9F4C69" w:rsidR="00BA008E" w:rsidRPr="00AA59B5" w:rsidRDefault="00730EC4" w:rsidP="00730EC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w:t>
            </w:r>
            <w:r w:rsidR="007F4723">
              <w:rPr>
                <w:rFonts w:ascii="Arial" w:hAnsi="Arial" w:cs="Arial"/>
                <w:szCs w:val="22"/>
              </w:rPr>
              <w:t>5042</w:t>
            </w:r>
          </w:p>
        </w:tc>
        <w:tc>
          <w:tcPr>
            <w:tcW w:w="1402" w:type="dxa"/>
          </w:tcPr>
          <w:p w14:paraId="0A4E7EAD" w14:textId="5582DB84" w:rsidR="00BA008E" w:rsidRPr="00AA59B5" w:rsidRDefault="007F4723" w:rsidP="00730EC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50.42</w:t>
            </w:r>
            <w:r w:rsidR="00E70F88">
              <w:rPr>
                <w:rFonts w:ascii="Arial" w:hAnsi="Arial" w:cs="Arial"/>
                <w:szCs w:val="22"/>
              </w:rPr>
              <w:t>%</w:t>
            </w:r>
          </w:p>
        </w:tc>
      </w:tr>
      <w:tr w:rsidR="00BA008E" w:rsidRPr="00AA59B5" w14:paraId="56DB4031" w14:textId="77777777" w:rsidTr="008205A3">
        <w:trPr>
          <w:trHeight w:val="405"/>
        </w:trPr>
        <w:tc>
          <w:tcPr>
            <w:cnfStyle w:val="001000000000" w:firstRow="0" w:lastRow="0" w:firstColumn="1" w:lastColumn="0" w:oddVBand="0" w:evenVBand="0" w:oddHBand="0" w:evenHBand="0" w:firstRowFirstColumn="0" w:firstRowLastColumn="0" w:lastRowFirstColumn="0" w:lastRowLastColumn="0"/>
            <w:tcW w:w="6158" w:type="dxa"/>
            <w:vAlign w:val="center"/>
          </w:tcPr>
          <w:p w14:paraId="4311F299" w14:textId="7ED99014" w:rsidR="00BA008E" w:rsidRPr="00AA59B5" w:rsidRDefault="008B476E" w:rsidP="00BA008E">
            <w:pPr>
              <w:rPr>
                <w:rFonts w:ascii="Arial" w:hAnsi="Arial" w:cs="Arial"/>
                <w:b w:val="0"/>
                <w:szCs w:val="22"/>
              </w:rPr>
            </w:pPr>
            <w:r>
              <w:rPr>
                <w:rFonts w:ascii="Arial" w:hAnsi="Arial" w:cs="Arial"/>
                <w:b w:val="0"/>
              </w:rPr>
              <w:t>Flooring Contractors</w:t>
            </w:r>
          </w:p>
        </w:tc>
        <w:tc>
          <w:tcPr>
            <w:tcW w:w="828" w:type="dxa"/>
          </w:tcPr>
          <w:p w14:paraId="2294A656" w14:textId="08DE104F" w:rsidR="00BA008E" w:rsidRDefault="007F4723" w:rsidP="00BA008E">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13</w:t>
            </w:r>
          </w:p>
        </w:tc>
        <w:tc>
          <w:tcPr>
            <w:tcW w:w="902" w:type="dxa"/>
          </w:tcPr>
          <w:p w14:paraId="3BBDEF6F" w14:textId="4086D221" w:rsidR="00BA008E" w:rsidRPr="00AA59B5" w:rsidRDefault="007F4723" w:rsidP="00730EC4">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570</w:t>
            </w:r>
          </w:p>
        </w:tc>
        <w:tc>
          <w:tcPr>
            <w:tcW w:w="1463" w:type="dxa"/>
          </w:tcPr>
          <w:p w14:paraId="00974607" w14:textId="56FA7E32" w:rsidR="00BA008E" w:rsidRPr="00AA59B5" w:rsidRDefault="00730EC4" w:rsidP="00730EC4">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.0</w:t>
            </w:r>
            <w:r w:rsidR="007F4723">
              <w:rPr>
                <w:rFonts w:ascii="Arial" w:hAnsi="Arial" w:cs="Arial"/>
                <w:szCs w:val="22"/>
              </w:rPr>
              <w:t>228</w:t>
            </w:r>
          </w:p>
        </w:tc>
        <w:tc>
          <w:tcPr>
            <w:tcW w:w="1402" w:type="dxa"/>
          </w:tcPr>
          <w:p w14:paraId="46661FB5" w14:textId="34CE770E" w:rsidR="00BA008E" w:rsidRPr="00AA59B5" w:rsidRDefault="007F4723" w:rsidP="00730EC4">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2.28</w:t>
            </w:r>
            <w:r w:rsidR="00E70F88">
              <w:rPr>
                <w:rFonts w:ascii="Arial" w:hAnsi="Arial" w:cs="Arial"/>
                <w:szCs w:val="22"/>
              </w:rPr>
              <w:t>%</w:t>
            </w:r>
          </w:p>
        </w:tc>
      </w:tr>
      <w:tr w:rsidR="00BA008E" w:rsidRPr="00AA59B5" w14:paraId="3C717730" w14:textId="77777777" w:rsidTr="008205A3">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158" w:type="dxa"/>
            <w:vAlign w:val="center"/>
          </w:tcPr>
          <w:p w14:paraId="343A6A26" w14:textId="624DFF6D" w:rsidR="00BA008E" w:rsidRPr="00AA59B5" w:rsidRDefault="002859FC" w:rsidP="002859FC">
            <w:pPr>
              <w:spacing w:after="0" w:line="240" w:lineRule="auto"/>
              <w:rPr>
                <w:rFonts w:ascii="Arial" w:hAnsi="Arial" w:cs="Arial"/>
                <w:b w:val="0"/>
                <w:szCs w:val="22"/>
              </w:rPr>
            </w:pPr>
            <w:bookmarkStart w:id="7" w:name="_Hlk515013015"/>
            <w:r>
              <w:rPr>
                <w:rFonts w:ascii="Arial" w:hAnsi="Arial" w:cs="Arial"/>
                <w:b w:val="0"/>
                <w:color w:val="auto"/>
              </w:rPr>
              <w:t>Painting and Wall Covering Contractors</w:t>
            </w:r>
          </w:p>
        </w:tc>
        <w:tc>
          <w:tcPr>
            <w:tcW w:w="828" w:type="dxa"/>
          </w:tcPr>
          <w:p w14:paraId="4006FF2F" w14:textId="583EF8CB" w:rsidR="00BA008E" w:rsidRPr="00AA59B5" w:rsidRDefault="007F4723" w:rsidP="00BA008E">
            <w:pPr>
              <w:spacing w:before="20" w:after="2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45</w:t>
            </w:r>
          </w:p>
        </w:tc>
        <w:tc>
          <w:tcPr>
            <w:tcW w:w="902" w:type="dxa"/>
          </w:tcPr>
          <w:p w14:paraId="67787D92" w14:textId="18FB1C08" w:rsidR="00BA008E" w:rsidRPr="00AA59B5" w:rsidRDefault="007F4723" w:rsidP="00730EC4">
            <w:pPr>
              <w:spacing w:before="20" w:after="2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1214</w:t>
            </w:r>
          </w:p>
        </w:tc>
        <w:tc>
          <w:tcPr>
            <w:tcW w:w="1463" w:type="dxa"/>
          </w:tcPr>
          <w:p w14:paraId="14763F88" w14:textId="73566E12" w:rsidR="00BA008E" w:rsidRPr="00AA59B5" w:rsidRDefault="00E70F88" w:rsidP="00730EC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.0</w:t>
            </w:r>
            <w:r w:rsidR="007F4723">
              <w:rPr>
                <w:rFonts w:ascii="Arial" w:hAnsi="Arial" w:cs="Arial"/>
                <w:szCs w:val="22"/>
              </w:rPr>
              <w:t>370</w:t>
            </w:r>
          </w:p>
        </w:tc>
        <w:tc>
          <w:tcPr>
            <w:tcW w:w="1402" w:type="dxa"/>
          </w:tcPr>
          <w:p w14:paraId="176FF0B1" w14:textId="68CEC6D1" w:rsidR="00BA008E" w:rsidRPr="00AA59B5" w:rsidRDefault="007F4723" w:rsidP="00730EC4">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3.70</w:t>
            </w:r>
            <w:r w:rsidR="00E70F88">
              <w:rPr>
                <w:rFonts w:ascii="Arial" w:hAnsi="Arial" w:cs="Arial"/>
                <w:szCs w:val="22"/>
              </w:rPr>
              <w:t>%</w:t>
            </w:r>
          </w:p>
        </w:tc>
      </w:tr>
      <w:bookmarkEnd w:id="7"/>
      <w:tr w:rsidR="002859FC" w:rsidRPr="00AA59B5" w14:paraId="3F06B217" w14:textId="77777777" w:rsidTr="00086DB3">
        <w:trPr>
          <w:trHeight w:val="270"/>
        </w:trPr>
        <w:tc>
          <w:tcPr>
            <w:cnfStyle w:val="001000000000" w:firstRow="0" w:lastRow="0" w:firstColumn="1" w:lastColumn="0" w:oddVBand="0" w:evenVBand="0" w:oddHBand="0" w:evenHBand="0" w:firstRowFirstColumn="0" w:firstRowLastColumn="0" w:lastRowFirstColumn="0" w:lastRowLastColumn="0"/>
            <w:tcW w:w="6158" w:type="dxa"/>
            <w:vAlign w:val="center"/>
          </w:tcPr>
          <w:p w14:paraId="67F651D0" w14:textId="7D1D911F" w:rsidR="002859FC" w:rsidRPr="00AA59B5" w:rsidRDefault="002859FC" w:rsidP="002859FC">
            <w:pPr>
              <w:rPr>
                <w:rFonts w:ascii="Arial" w:hAnsi="Arial" w:cs="Arial"/>
                <w:b w:val="0"/>
                <w:szCs w:val="22"/>
              </w:rPr>
            </w:pPr>
            <w:r>
              <w:rPr>
                <w:rFonts w:ascii="Arial" w:hAnsi="Arial" w:cs="Arial"/>
                <w:b w:val="0"/>
                <w:color w:val="auto"/>
              </w:rPr>
              <w:t>Landscaping Services</w:t>
            </w:r>
          </w:p>
        </w:tc>
        <w:tc>
          <w:tcPr>
            <w:tcW w:w="828" w:type="dxa"/>
          </w:tcPr>
          <w:p w14:paraId="6FAD8F8C" w14:textId="5D82C0D2" w:rsidR="002859FC" w:rsidRPr="00AA59B5" w:rsidRDefault="0084079C" w:rsidP="002859FC">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48</w:t>
            </w:r>
          </w:p>
        </w:tc>
        <w:tc>
          <w:tcPr>
            <w:tcW w:w="902" w:type="dxa"/>
          </w:tcPr>
          <w:p w14:paraId="7068D8C8" w14:textId="5F495C97" w:rsidR="002859FC" w:rsidRPr="00AA59B5" w:rsidRDefault="007F4723" w:rsidP="002859FC">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2073</w:t>
            </w:r>
          </w:p>
        </w:tc>
        <w:tc>
          <w:tcPr>
            <w:tcW w:w="1463" w:type="dxa"/>
          </w:tcPr>
          <w:p w14:paraId="0151524B" w14:textId="3D593B31" w:rsidR="002859FC" w:rsidRPr="00AA59B5" w:rsidRDefault="002859FC" w:rsidP="002859FC">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w:t>
            </w:r>
            <w:r w:rsidR="007F4723">
              <w:rPr>
                <w:rFonts w:ascii="Arial" w:hAnsi="Arial" w:cs="Arial"/>
                <w:szCs w:val="22"/>
              </w:rPr>
              <w:t>0231</w:t>
            </w:r>
          </w:p>
        </w:tc>
        <w:tc>
          <w:tcPr>
            <w:tcW w:w="1402" w:type="dxa"/>
          </w:tcPr>
          <w:p w14:paraId="27CEAE6F" w14:textId="3EBDACCE" w:rsidR="002859FC" w:rsidRPr="00AA59B5" w:rsidRDefault="007F4723" w:rsidP="002859FC">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2.31</w:t>
            </w:r>
            <w:r w:rsidR="002859FC">
              <w:rPr>
                <w:rFonts w:ascii="Arial" w:hAnsi="Arial" w:cs="Arial"/>
                <w:szCs w:val="22"/>
              </w:rPr>
              <w:t>%</w:t>
            </w:r>
          </w:p>
        </w:tc>
      </w:tr>
      <w:tr w:rsidR="00BA008E" w:rsidRPr="00AA59B5" w14:paraId="69CE4337" w14:textId="77777777" w:rsidTr="00086DB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158" w:type="dxa"/>
            <w:shd w:val="clear" w:color="auto" w:fill="365F91" w:themeFill="accent1" w:themeFillShade="BF"/>
          </w:tcPr>
          <w:p w14:paraId="0B8F4CF7" w14:textId="77777777" w:rsidR="00BA008E" w:rsidRPr="00AA59B5" w:rsidRDefault="00BA008E" w:rsidP="00BA008E">
            <w:pPr>
              <w:spacing w:before="120" w:after="120" w:line="240" w:lineRule="auto"/>
              <w:jc w:val="center"/>
              <w:rPr>
                <w:rFonts w:ascii="Arial" w:eastAsia="Times New Roman" w:hAnsi="Arial" w:cs="Arial"/>
                <w:color w:val="FFFFFF" w:themeColor="background1"/>
                <w:szCs w:val="22"/>
              </w:rPr>
            </w:pPr>
            <w:r w:rsidRPr="00AA59B5">
              <w:rPr>
                <w:rFonts w:ascii="Arial" w:hAnsi="Arial" w:cs="Arial"/>
                <w:color w:val="FFFFFF" w:themeColor="background1"/>
                <w:szCs w:val="22"/>
              </w:rPr>
              <w:t>Base Figure (i.e., Sum of Weighted Ratios for all Work Categories)</w:t>
            </w:r>
          </w:p>
        </w:tc>
        <w:tc>
          <w:tcPr>
            <w:tcW w:w="828" w:type="dxa"/>
            <w:shd w:val="clear" w:color="auto" w:fill="365F91" w:themeFill="accent1" w:themeFillShade="BF"/>
          </w:tcPr>
          <w:p w14:paraId="46E2711F" w14:textId="77777777" w:rsidR="00BA008E" w:rsidRDefault="00BA008E" w:rsidP="0027495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Cs w:val="22"/>
              </w:rPr>
            </w:pPr>
          </w:p>
          <w:p w14:paraId="138854B5" w14:textId="31E14531" w:rsidR="00274955" w:rsidRPr="00AA59B5" w:rsidRDefault="00274955" w:rsidP="0027495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Cs w:val="22"/>
              </w:rPr>
            </w:pPr>
            <w:r>
              <w:rPr>
                <w:rFonts w:ascii="Arial" w:eastAsia="Times New Roman" w:hAnsi="Arial" w:cs="Arial"/>
                <w:b/>
                <w:color w:val="FFFFFF" w:themeColor="background1"/>
                <w:szCs w:val="22"/>
              </w:rPr>
              <w:t>574</w:t>
            </w:r>
          </w:p>
        </w:tc>
        <w:tc>
          <w:tcPr>
            <w:tcW w:w="902" w:type="dxa"/>
            <w:shd w:val="clear" w:color="auto" w:fill="365F91" w:themeFill="accent1" w:themeFillShade="BF"/>
          </w:tcPr>
          <w:p w14:paraId="62E81DE6" w14:textId="77777777" w:rsidR="00BA008E" w:rsidRDefault="00BA008E" w:rsidP="00730E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Cs w:val="22"/>
              </w:rPr>
            </w:pPr>
          </w:p>
          <w:p w14:paraId="70266756" w14:textId="5E6105E0" w:rsidR="00274955" w:rsidRPr="00AA59B5" w:rsidRDefault="00274955" w:rsidP="00730E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Cs w:val="22"/>
              </w:rPr>
            </w:pPr>
            <w:r>
              <w:rPr>
                <w:rFonts w:ascii="Arial" w:eastAsia="Times New Roman" w:hAnsi="Arial" w:cs="Arial"/>
                <w:b/>
                <w:color w:val="FFFFFF" w:themeColor="background1"/>
                <w:szCs w:val="22"/>
              </w:rPr>
              <w:t>7784</w:t>
            </w:r>
          </w:p>
        </w:tc>
        <w:tc>
          <w:tcPr>
            <w:tcW w:w="1463" w:type="dxa"/>
            <w:shd w:val="clear" w:color="auto" w:fill="365F91" w:themeFill="accent1" w:themeFillShade="BF"/>
          </w:tcPr>
          <w:p w14:paraId="57977A49" w14:textId="77777777" w:rsidR="00BA008E" w:rsidRDefault="00BA008E" w:rsidP="00730E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Cs w:val="22"/>
              </w:rPr>
            </w:pPr>
          </w:p>
          <w:p w14:paraId="0C57484E" w14:textId="4B754177" w:rsidR="00274955" w:rsidRPr="00AA59B5" w:rsidRDefault="00274955" w:rsidP="00730E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Cs w:val="22"/>
              </w:rPr>
            </w:pPr>
            <w:r>
              <w:rPr>
                <w:rFonts w:ascii="Arial" w:eastAsia="Times New Roman" w:hAnsi="Arial" w:cs="Arial"/>
                <w:b/>
                <w:color w:val="FFFFFF" w:themeColor="background1"/>
                <w:szCs w:val="22"/>
              </w:rPr>
              <w:t>.0737</w:t>
            </w:r>
          </w:p>
        </w:tc>
        <w:tc>
          <w:tcPr>
            <w:tcW w:w="1402" w:type="dxa"/>
            <w:shd w:val="clear" w:color="auto" w:fill="365F91" w:themeFill="accent1" w:themeFillShade="BF"/>
            <w:vAlign w:val="center"/>
          </w:tcPr>
          <w:p w14:paraId="0B7D87C5" w14:textId="2FCE3DA3" w:rsidR="00BA008E" w:rsidRPr="00AA59B5" w:rsidRDefault="00E70F88" w:rsidP="00F927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Cs w:val="22"/>
              </w:rPr>
            </w:pPr>
            <w:r>
              <w:rPr>
                <w:rFonts w:ascii="Arial" w:eastAsia="Times New Roman" w:hAnsi="Arial" w:cs="Arial"/>
                <w:b/>
                <w:color w:val="FFFFFF" w:themeColor="background1"/>
                <w:szCs w:val="22"/>
              </w:rPr>
              <w:t>=</w:t>
            </w:r>
            <w:r w:rsidR="00274955">
              <w:rPr>
                <w:rFonts w:ascii="Arial" w:eastAsia="Times New Roman" w:hAnsi="Arial" w:cs="Arial"/>
                <w:b/>
                <w:color w:val="FFFFFF" w:themeColor="background1"/>
                <w:szCs w:val="22"/>
              </w:rPr>
              <w:t xml:space="preserve"> 7.37%</w:t>
            </w:r>
          </w:p>
        </w:tc>
      </w:tr>
    </w:tbl>
    <w:p w14:paraId="28F58D18" w14:textId="77777777" w:rsidR="00883D10" w:rsidRPr="00AA59B5" w:rsidRDefault="00883D10" w:rsidP="000D5DA9">
      <w:pPr>
        <w:autoSpaceDE w:val="0"/>
        <w:autoSpaceDN w:val="0"/>
        <w:adjustRightInd w:val="0"/>
        <w:spacing w:after="0" w:line="240" w:lineRule="auto"/>
        <w:jc w:val="both"/>
        <w:rPr>
          <w:rFonts w:ascii="Arial" w:eastAsia="Times New Roman" w:hAnsi="Arial" w:cs="Arial"/>
          <w:b/>
          <w:color w:val="auto"/>
          <w:szCs w:val="22"/>
        </w:rPr>
      </w:pPr>
    </w:p>
    <w:p w14:paraId="6F328BB6" w14:textId="77777777" w:rsidR="00D012BA" w:rsidRPr="00AA59B5" w:rsidRDefault="00D012BA" w:rsidP="009A4750">
      <w:pPr>
        <w:pStyle w:val="Heading1"/>
        <w:spacing w:before="240"/>
        <w:rPr>
          <w:rFonts w:ascii="Arial" w:hAnsi="Arial" w:cs="Arial"/>
          <w:i/>
          <w:color w:val="548DD4" w:themeColor="text2" w:themeTint="99"/>
          <w:sz w:val="22"/>
          <w:szCs w:val="22"/>
        </w:rPr>
      </w:pPr>
      <w:bookmarkStart w:id="8" w:name="_Toc331591920"/>
      <w:r w:rsidRPr="00AA59B5">
        <w:rPr>
          <w:rFonts w:ascii="Arial" w:hAnsi="Arial" w:cs="Arial"/>
          <w:i/>
          <w:color w:val="548DD4" w:themeColor="text2" w:themeTint="99"/>
          <w:sz w:val="22"/>
          <w:szCs w:val="22"/>
        </w:rPr>
        <w:t>Step 2: Adjusting the Base Figure</w:t>
      </w:r>
      <w:bookmarkEnd w:id="8"/>
      <w:r w:rsidRPr="00AA59B5">
        <w:rPr>
          <w:rFonts w:ascii="Arial" w:hAnsi="Arial" w:cs="Arial"/>
          <w:i/>
          <w:color w:val="548DD4" w:themeColor="text2" w:themeTint="99"/>
          <w:sz w:val="22"/>
          <w:szCs w:val="22"/>
        </w:rPr>
        <w:t xml:space="preserve"> </w:t>
      </w:r>
    </w:p>
    <w:p w14:paraId="0126B597" w14:textId="77777777" w:rsidR="00D012BA" w:rsidRPr="00AA59B5" w:rsidRDefault="00D012BA" w:rsidP="000D5DA9">
      <w:pPr>
        <w:autoSpaceDE w:val="0"/>
        <w:autoSpaceDN w:val="0"/>
        <w:adjustRightInd w:val="0"/>
        <w:spacing w:after="0" w:line="240" w:lineRule="auto"/>
        <w:jc w:val="both"/>
        <w:rPr>
          <w:rFonts w:ascii="Arial" w:eastAsia="Times New Roman" w:hAnsi="Arial" w:cs="Arial"/>
          <w:color w:val="auto"/>
          <w:szCs w:val="22"/>
        </w:rPr>
      </w:pPr>
    </w:p>
    <w:p w14:paraId="451107B2" w14:textId="1635102F" w:rsidR="000D5DA9" w:rsidRPr="00AA59B5" w:rsidRDefault="000D5DA9" w:rsidP="000D5DA9">
      <w:pPr>
        <w:autoSpaceDE w:val="0"/>
        <w:autoSpaceDN w:val="0"/>
        <w:adjustRightInd w:val="0"/>
        <w:spacing w:after="0" w:line="240" w:lineRule="auto"/>
        <w:jc w:val="both"/>
        <w:rPr>
          <w:rFonts w:ascii="Arial" w:eastAsia="Times New Roman" w:hAnsi="Arial" w:cs="Arial"/>
          <w:color w:val="auto"/>
          <w:szCs w:val="22"/>
        </w:rPr>
      </w:pPr>
      <w:r w:rsidRPr="00AA59B5">
        <w:rPr>
          <w:rFonts w:ascii="Arial" w:eastAsia="Times New Roman" w:hAnsi="Arial" w:cs="Arial"/>
          <w:color w:val="auto"/>
          <w:szCs w:val="22"/>
        </w:rPr>
        <w:t xml:space="preserve">Upon establishing the Base Figure, </w:t>
      </w:r>
      <w:r w:rsidR="00AA59B5">
        <w:rPr>
          <w:rFonts w:ascii="Arial" w:eastAsia="Times New Roman" w:hAnsi="Arial" w:cs="Arial"/>
          <w:color w:val="auto"/>
          <w:szCs w:val="22"/>
        </w:rPr>
        <w:t>VVTA</w:t>
      </w:r>
      <w:r w:rsidRPr="00AA59B5">
        <w:rPr>
          <w:rFonts w:ascii="Arial" w:eastAsia="Times New Roman" w:hAnsi="Arial" w:cs="Arial"/>
          <w:color w:val="auto"/>
          <w:szCs w:val="22"/>
        </w:rPr>
        <w:t xml:space="preserve"> reviewed and assessed other known evidence potentially impacting the relative availability of DBEs within </w:t>
      </w:r>
      <w:r w:rsidR="00624644" w:rsidRPr="00AA59B5">
        <w:rPr>
          <w:rFonts w:ascii="Arial" w:eastAsia="Times New Roman" w:hAnsi="Arial" w:cs="Arial"/>
          <w:color w:val="auto"/>
          <w:szCs w:val="22"/>
        </w:rPr>
        <w:t>the</w:t>
      </w:r>
      <w:r w:rsidRPr="00AA59B5">
        <w:rPr>
          <w:rFonts w:ascii="Arial" w:eastAsia="Times New Roman" w:hAnsi="Arial" w:cs="Arial"/>
          <w:color w:val="auto"/>
          <w:szCs w:val="22"/>
        </w:rPr>
        <w:t xml:space="preserve"> market area, in accordance with </w:t>
      </w:r>
      <w:r w:rsidR="00E70F88" w:rsidRPr="00AA59B5">
        <w:rPr>
          <w:rFonts w:ascii="Arial" w:eastAsia="Times New Roman" w:hAnsi="Arial" w:cs="Arial"/>
          <w:color w:val="auto"/>
          <w:szCs w:val="22"/>
        </w:rPr>
        <w:t>prescribed narrow</w:t>
      </w:r>
      <w:r w:rsidR="00274955">
        <w:rPr>
          <w:rFonts w:ascii="Arial" w:eastAsia="Times New Roman" w:hAnsi="Arial" w:cs="Arial"/>
          <w:color w:val="auto"/>
          <w:szCs w:val="22"/>
        </w:rPr>
        <w:t xml:space="preserve"> </w:t>
      </w:r>
      <w:r w:rsidRPr="00AA59B5">
        <w:rPr>
          <w:rFonts w:ascii="Arial" w:eastAsia="Times New Roman" w:hAnsi="Arial" w:cs="Arial"/>
          <w:color w:val="auto"/>
          <w:szCs w:val="22"/>
        </w:rPr>
        <w:t>tailoring provisions set forth under 49 CFR Part 26.45: Step 2; DBE Goal Adjustment guidelines.</w:t>
      </w:r>
    </w:p>
    <w:p w14:paraId="39610717" w14:textId="77777777" w:rsidR="000D5DA9" w:rsidRPr="00AA59B5" w:rsidRDefault="000D5DA9" w:rsidP="000D5DA9">
      <w:pPr>
        <w:autoSpaceDE w:val="0"/>
        <w:autoSpaceDN w:val="0"/>
        <w:adjustRightInd w:val="0"/>
        <w:spacing w:after="0" w:line="240" w:lineRule="auto"/>
        <w:jc w:val="both"/>
        <w:rPr>
          <w:rFonts w:ascii="Arial" w:eastAsia="Times New Roman" w:hAnsi="Arial" w:cs="Arial"/>
          <w:color w:val="auto"/>
          <w:szCs w:val="22"/>
        </w:rPr>
      </w:pPr>
    </w:p>
    <w:p w14:paraId="5A59D0F9" w14:textId="77777777" w:rsidR="001F5BE6" w:rsidRPr="00AA59B5" w:rsidRDefault="001F5BE6" w:rsidP="001F5BE6">
      <w:pPr>
        <w:autoSpaceDE w:val="0"/>
        <w:autoSpaceDN w:val="0"/>
        <w:adjustRightInd w:val="0"/>
        <w:spacing w:after="0" w:line="240" w:lineRule="auto"/>
        <w:jc w:val="both"/>
        <w:rPr>
          <w:rFonts w:ascii="Arial" w:eastAsia="Times New Roman" w:hAnsi="Arial" w:cs="Arial"/>
          <w:color w:val="auto"/>
          <w:szCs w:val="22"/>
        </w:rPr>
      </w:pPr>
      <w:r w:rsidRPr="00AA59B5">
        <w:rPr>
          <w:rFonts w:ascii="Arial" w:eastAsia="Times New Roman" w:hAnsi="Arial" w:cs="Arial"/>
          <w:color w:val="auto"/>
          <w:szCs w:val="22"/>
        </w:rPr>
        <w:t>Evidence considered in making an adjustment to the Base Figure included Past DBE Goal Attainments</w:t>
      </w:r>
      <w:r w:rsidR="00624644" w:rsidRPr="00AA59B5">
        <w:rPr>
          <w:rFonts w:ascii="Arial" w:eastAsia="Times New Roman" w:hAnsi="Arial" w:cs="Arial"/>
          <w:color w:val="auto"/>
          <w:szCs w:val="22"/>
        </w:rPr>
        <w:t xml:space="preserve"> </w:t>
      </w:r>
      <w:r w:rsidRPr="00AA59B5">
        <w:rPr>
          <w:rFonts w:ascii="Arial" w:eastAsia="Times New Roman" w:hAnsi="Arial" w:cs="Arial"/>
          <w:color w:val="auto"/>
          <w:szCs w:val="22"/>
        </w:rPr>
        <w:t>and Other Evidence, as follows:</w:t>
      </w:r>
    </w:p>
    <w:p w14:paraId="42B2D592" w14:textId="77777777" w:rsidR="00B252AA" w:rsidRPr="00AA59B5" w:rsidRDefault="00B252AA" w:rsidP="001F5BE6">
      <w:pPr>
        <w:autoSpaceDE w:val="0"/>
        <w:autoSpaceDN w:val="0"/>
        <w:adjustRightInd w:val="0"/>
        <w:spacing w:after="0" w:line="240" w:lineRule="auto"/>
        <w:jc w:val="both"/>
        <w:rPr>
          <w:rFonts w:ascii="Arial" w:eastAsia="Times New Roman" w:hAnsi="Arial" w:cs="Arial"/>
          <w:color w:val="auto"/>
          <w:szCs w:val="22"/>
        </w:rPr>
      </w:pPr>
    </w:p>
    <w:p w14:paraId="61B81834" w14:textId="77777777" w:rsidR="001F5BE6" w:rsidRPr="00AA59B5" w:rsidRDefault="001F5BE6" w:rsidP="00094522">
      <w:pPr>
        <w:pStyle w:val="Heading1"/>
        <w:spacing w:before="120"/>
        <w:ind w:left="360"/>
        <w:rPr>
          <w:rFonts w:ascii="Arial" w:hAnsi="Arial" w:cs="Arial"/>
          <w:color w:val="auto"/>
          <w:sz w:val="22"/>
          <w:szCs w:val="22"/>
        </w:rPr>
      </w:pPr>
      <w:bookmarkStart w:id="9" w:name="_Toc331591921"/>
      <w:r w:rsidRPr="00AA59B5">
        <w:rPr>
          <w:rFonts w:ascii="Arial" w:hAnsi="Arial" w:cs="Arial"/>
          <w:color w:val="auto"/>
          <w:sz w:val="22"/>
          <w:szCs w:val="22"/>
        </w:rPr>
        <w:t>A. Past DBE Goal Attainments</w:t>
      </w:r>
      <w:bookmarkEnd w:id="9"/>
    </w:p>
    <w:p w14:paraId="6E857EBF" w14:textId="77777777" w:rsidR="001F5BE6" w:rsidRPr="00AA59B5" w:rsidRDefault="00883D10" w:rsidP="001F5BE6">
      <w:pPr>
        <w:autoSpaceDE w:val="0"/>
        <w:autoSpaceDN w:val="0"/>
        <w:adjustRightInd w:val="0"/>
        <w:spacing w:after="0" w:line="240" w:lineRule="auto"/>
        <w:ind w:left="360"/>
        <w:jc w:val="both"/>
        <w:rPr>
          <w:rFonts w:ascii="Arial" w:eastAsia="Times New Roman" w:hAnsi="Arial" w:cs="Arial"/>
          <w:color w:val="auto"/>
          <w:szCs w:val="22"/>
        </w:rPr>
      </w:pPr>
      <w:r w:rsidRPr="00AA59B5">
        <w:rPr>
          <w:rFonts w:ascii="Arial" w:eastAsia="Times New Roman" w:hAnsi="Arial" w:cs="Arial"/>
          <w:color w:val="auto"/>
          <w:szCs w:val="22"/>
        </w:rPr>
        <w:t xml:space="preserve">As historical DBE participation attainments provide demonstrable evidence of DBE availability and capacity to perform, </w:t>
      </w:r>
      <w:r w:rsidR="00AA59B5">
        <w:rPr>
          <w:rFonts w:ascii="Arial" w:eastAsia="Times New Roman" w:hAnsi="Arial" w:cs="Arial"/>
          <w:color w:val="auto"/>
          <w:szCs w:val="22"/>
        </w:rPr>
        <w:t>VVTA</w:t>
      </w:r>
      <w:r w:rsidRPr="00AA59B5">
        <w:rPr>
          <w:rFonts w:ascii="Arial" w:eastAsia="Times New Roman" w:hAnsi="Arial" w:cs="Arial"/>
          <w:color w:val="auto"/>
          <w:szCs w:val="22"/>
        </w:rPr>
        <w:t xml:space="preserve"> proceeded to calculate past DBE participation attainments for the three (3) federal fiscal years, for which DBE attainment data</w:t>
      </w:r>
      <w:r w:rsidR="003A7C23" w:rsidRPr="00AA59B5">
        <w:rPr>
          <w:rFonts w:ascii="Arial" w:eastAsia="Times New Roman" w:hAnsi="Arial" w:cs="Arial"/>
          <w:color w:val="auto"/>
          <w:szCs w:val="22"/>
        </w:rPr>
        <w:t xml:space="preserve"> is available</w:t>
      </w:r>
      <w:r w:rsidRPr="00AA59B5">
        <w:rPr>
          <w:rFonts w:ascii="Arial" w:eastAsia="Times New Roman" w:hAnsi="Arial" w:cs="Arial"/>
          <w:color w:val="auto"/>
          <w:szCs w:val="22"/>
        </w:rPr>
        <w:t xml:space="preserve">.  </w:t>
      </w:r>
      <w:r w:rsidR="001F5BE6" w:rsidRPr="00AA59B5">
        <w:rPr>
          <w:rFonts w:ascii="Arial" w:eastAsia="Times New Roman" w:hAnsi="Arial" w:cs="Arial"/>
          <w:color w:val="auto"/>
          <w:szCs w:val="22"/>
        </w:rPr>
        <w:t xml:space="preserve">The table below reflects the demonstrated capacity of DBEs (measured by actual historical DBE participation attainments) on FTA-assisted contracts awarded by </w:t>
      </w:r>
      <w:r w:rsidR="00AA59B5">
        <w:rPr>
          <w:rFonts w:ascii="Arial" w:eastAsia="Times New Roman" w:hAnsi="Arial" w:cs="Arial"/>
          <w:color w:val="auto"/>
          <w:szCs w:val="22"/>
        </w:rPr>
        <w:t>VVTA</w:t>
      </w:r>
      <w:r w:rsidR="001F5BE6" w:rsidRPr="00AA59B5">
        <w:rPr>
          <w:rFonts w:ascii="Arial" w:eastAsia="Times New Roman" w:hAnsi="Arial" w:cs="Arial"/>
          <w:color w:val="auto"/>
          <w:szCs w:val="22"/>
        </w:rPr>
        <w:t xml:space="preserve"> within the last three (3) federal fiscal years.</w:t>
      </w:r>
    </w:p>
    <w:p w14:paraId="125C48E5" w14:textId="77777777" w:rsidR="001F5BE6" w:rsidRPr="00AA59B5" w:rsidRDefault="001F5BE6" w:rsidP="001F5BE6">
      <w:pPr>
        <w:autoSpaceDE w:val="0"/>
        <w:autoSpaceDN w:val="0"/>
        <w:adjustRightInd w:val="0"/>
        <w:spacing w:after="0" w:line="240" w:lineRule="auto"/>
        <w:ind w:left="360"/>
        <w:jc w:val="both"/>
        <w:rPr>
          <w:rFonts w:ascii="Arial" w:eastAsia="Times New Roman" w:hAnsi="Arial" w:cs="Arial"/>
          <w:color w:val="auto"/>
          <w:szCs w:val="22"/>
        </w:rPr>
      </w:pPr>
    </w:p>
    <w:p w14:paraId="7965350E" w14:textId="77777777" w:rsidR="001F5BE6" w:rsidRPr="00AA59B5" w:rsidRDefault="001F5BE6" w:rsidP="001F5BE6">
      <w:pPr>
        <w:autoSpaceDE w:val="0"/>
        <w:autoSpaceDN w:val="0"/>
        <w:adjustRightInd w:val="0"/>
        <w:spacing w:after="0" w:line="240" w:lineRule="auto"/>
        <w:ind w:left="360"/>
        <w:jc w:val="both"/>
        <w:rPr>
          <w:rFonts w:ascii="Arial" w:eastAsia="Times New Roman" w:hAnsi="Arial" w:cs="Arial"/>
          <w:b/>
          <w:color w:val="auto"/>
          <w:szCs w:val="22"/>
        </w:rPr>
      </w:pPr>
      <w:r w:rsidRPr="00AA59B5">
        <w:rPr>
          <w:rFonts w:ascii="Arial" w:eastAsia="Times New Roman" w:hAnsi="Arial" w:cs="Arial"/>
          <w:b/>
          <w:color w:val="auto"/>
          <w:szCs w:val="22"/>
        </w:rPr>
        <w:t xml:space="preserve">Table </w:t>
      </w:r>
      <w:r w:rsidR="00F12958" w:rsidRPr="00AA59B5">
        <w:rPr>
          <w:rFonts w:ascii="Arial" w:eastAsia="Times New Roman" w:hAnsi="Arial" w:cs="Arial"/>
          <w:b/>
          <w:color w:val="auto"/>
          <w:szCs w:val="22"/>
        </w:rPr>
        <w:t>4</w:t>
      </w:r>
    </w:p>
    <w:tbl>
      <w:tblPr>
        <w:tblStyle w:val="LightShading-Accent1"/>
        <w:tblW w:w="8262" w:type="dxa"/>
        <w:tblInd w:w="468" w:type="dxa"/>
        <w:tblLook w:val="04A0" w:firstRow="1" w:lastRow="0" w:firstColumn="1" w:lastColumn="0" w:noHBand="0" w:noVBand="1"/>
      </w:tblPr>
      <w:tblGrid>
        <w:gridCol w:w="5850"/>
        <w:gridCol w:w="2412"/>
      </w:tblGrid>
      <w:tr w:rsidR="001F5BE6" w:rsidRPr="00AA59B5" w14:paraId="06668965" w14:textId="77777777" w:rsidTr="003A7C2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850" w:type="dxa"/>
            <w:shd w:val="clear" w:color="auto" w:fill="365F91" w:themeFill="accent1" w:themeFillShade="BF"/>
            <w:hideMark/>
          </w:tcPr>
          <w:p w14:paraId="3AB15F4F" w14:textId="77777777" w:rsidR="001F5BE6" w:rsidRPr="00AA59B5" w:rsidRDefault="001F5BE6" w:rsidP="00D02877">
            <w:pPr>
              <w:spacing w:after="0" w:line="240" w:lineRule="auto"/>
              <w:rPr>
                <w:rFonts w:ascii="Arial" w:eastAsia="Times New Roman" w:hAnsi="Arial" w:cs="Arial"/>
                <w:bCs w:val="0"/>
                <w:color w:val="FFFFFF" w:themeColor="background1"/>
                <w:szCs w:val="22"/>
              </w:rPr>
            </w:pPr>
            <w:r w:rsidRPr="00AA59B5">
              <w:rPr>
                <w:rFonts w:ascii="Arial" w:eastAsia="Times New Roman" w:hAnsi="Arial" w:cs="Arial"/>
                <w:bCs w:val="0"/>
                <w:color w:val="FFFFFF" w:themeColor="background1"/>
                <w:szCs w:val="22"/>
              </w:rPr>
              <w:t>F</w:t>
            </w:r>
            <w:r w:rsidR="00D02877" w:rsidRPr="00AA59B5">
              <w:rPr>
                <w:rFonts w:ascii="Arial" w:eastAsia="Times New Roman" w:hAnsi="Arial" w:cs="Arial"/>
                <w:bCs w:val="0"/>
                <w:color w:val="FFFFFF" w:themeColor="background1"/>
                <w:szCs w:val="22"/>
              </w:rPr>
              <w:t>EDERAL FISCAL YEAR</w:t>
            </w:r>
            <w:r w:rsidRPr="00AA59B5">
              <w:rPr>
                <w:rFonts w:ascii="Arial" w:eastAsia="Times New Roman" w:hAnsi="Arial" w:cs="Arial"/>
                <w:bCs w:val="0"/>
                <w:color w:val="FFFFFF" w:themeColor="background1"/>
                <w:szCs w:val="22"/>
              </w:rPr>
              <w:t xml:space="preserve"> (FFY)</w:t>
            </w:r>
          </w:p>
        </w:tc>
        <w:tc>
          <w:tcPr>
            <w:tcW w:w="2412" w:type="dxa"/>
            <w:shd w:val="clear" w:color="auto" w:fill="365F91" w:themeFill="accent1" w:themeFillShade="BF"/>
            <w:hideMark/>
          </w:tcPr>
          <w:p w14:paraId="41A2320A" w14:textId="77777777" w:rsidR="001F5BE6" w:rsidRPr="00AA59B5" w:rsidRDefault="001F5BE6" w:rsidP="00D028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Cs w:val="22"/>
              </w:rPr>
            </w:pPr>
            <w:r w:rsidRPr="00AA59B5">
              <w:rPr>
                <w:rFonts w:ascii="Arial" w:eastAsia="Times New Roman" w:hAnsi="Arial" w:cs="Arial"/>
                <w:bCs w:val="0"/>
                <w:color w:val="FFFFFF" w:themeColor="background1"/>
                <w:szCs w:val="22"/>
              </w:rPr>
              <w:t>FTA DBE G</w:t>
            </w:r>
            <w:r w:rsidR="00D02877" w:rsidRPr="00AA59B5">
              <w:rPr>
                <w:rFonts w:ascii="Arial" w:eastAsia="Times New Roman" w:hAnsi="Arial" w:cs="Arial"/>
                <w:bCs w:val="0"/>
                <w:color w:val="FFFFFF" w:themeColor="background1"/>
                <w:szCs w:val="22"/>
              </w:rPr>
              <w:t>OAL ATTAINMENT</w:t>
            </w:r>
            <w:r w:rsidRPr="00AA59B5">
              <w:rPr>
                <w:rFonts w:ascii="Arial" w:eastAsia="Times New Roman" w:hAnsi="Arial" w:cs="Arial"/>
                <w:bCs w:val="0"/>
                <w:color w:val="FFFFFF" w:themeColor="background1"/>
                <w:szCs w:val="22"/>
              </w:rPr>
              <w:t xml:space="preserve"> %</w:t>
            </w:r>
          </w:p>
        </w:tc>
      </w:tr>
      <w:tr w:rsidR="003A7C23" w:rsidRPr="00AA59B5" w14:paraId="1A2C14FC" w14:textId="77777777" w:rsidTr="003A7C2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50" w:type="dxa"/>
            <w:noWrap/>
            <w:hideMark/>
          </w:tcPr>
          <w:p w14:paraId="26B1A06A" w14:textId="05352B78" w:rsidR="001F5BE6" w:rsidRPr="00AA59B5" w:rsidRDefault="003A2D06" w:rsidP="00BB734F">
            <w:pPr>
              <w:autoSpaceDE w:val="0"/>
              <w:autoSpaceDN w:val="0"/>
              <w:adjustRightInd w:val="0"/>
              <w:spacing w:before="60" w:after="60" w:line="240" w:lineRule="auto"/>
              <w:rPr>
                <w:rFonts w:ascii="Arial" w:eastAsia="Times New Roman" w:hAnsi="Arial" w:cs="Arial"/>
                <w:color w:val="auto"/>
                <w:szCs w:val="22"/>
              </w:rPr>
            </w:pPr>
            <w:r>
              <w:rPr>
                <w:rFonts w:ascii="Arial" w:eastAsia="Times New Roman" w:hAnsi="Arial" w:cs="Arial"/>
                <w:color w:val="auto"/>
                <w:szCs w:val="22"/>
              </w:rPr>
              <w:t>2018/19</w:t>
            </w:r>
          </w:p>
        </w:tc>
        <w:tc>
          <w:tcPr>
            <w:tcW w:w="2412" w:type="dxa"/>
            <w:noWrap/>
            <w:hideMark/>
          </w:tcPr>
          <w:p w14:paraId="0763C93E" w14:textId="000E2523" w:rsidR="001F5BE6" w:rsidRPr="00AA59B5" w:rsidRDefault="004F5FA4" w:rsidP="002F2FF9">
            <w:pPr>
              <w:spacing w:after="0" w:line="240" w:lineRule="auto"/>
              <w:ind w:right="1062"/>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2</w:t>
            </w:r>
            <w:r w:rsidR="00302A23">
              <w:rPr>
                <w:rFonts w:ascii="Arial" w:eastAsia="Times New Roman" w:hAnsi="Arial" w:cs="Arial"/>
                <w:color w:val="auto"/>
                <w:szCs w:val="22"/>
              </w:rPr>
              <w:t>%</w:t>
            </w:r>
          </w:p>
        </w:tc>
      </w:tr>
      <w:tr w:rsidR="003A7C23" w:rsidRPr="00AA59B5" w14:paraId="4BEC7B44" w14:textId="77777777" w:rsidTr="003A7C23">
        <w:trPr>
          <w:trHeight w:val="255"/>
        </w:trPr>
        <w:tc>
          <w:tcPr>
            <w:cnfStyle w:val="001000000000" w:firstRow="0" w:lastRow="0" w:firstColumn="1" w:lastColumn="0" w:oddVBand="0" w:evenVBand="0" w:oddHBand="0" w:evenHBand="0" w:firstRowFirstColumn="0" w:firstRowLastColumn="0" w:lastRowFirstColumn="0" w:lastRowLastColumn="0"/>
            <w:tcW w:w="5850" w:type="dxa"/>
            <w:hideMark/>
          </w:tcPr>
          <w:p w14:paraId="282DC9A3" w14:textId="7171960C" w:rsidR="001F5BE6" w:rsidRPr="00AA59B5" w:rsidRDefault="003A2D06" w:rsidP="00BB734F">
            <w:pPr>
              <w:autoSpaceDE w:val="0"/>
              <w:autoSpaceDN w:val="0"/>
              <w:adjustRightInd w:val="0"/>
              <w:spacing w:before="60" w:after="60" w:line="240" w:lineRule="auto"/>
              <w:rPr>
                <w:rFonts w:ascii="Arial" w:eastAsia="Times New Roman" w:hAnsi="Arial" w:cs="Arial"/>
                <w:color w:val="auto"/>
                <w:szCs w:val="22"/>
              </w:rPr>
            </w:pPr>
            <w:r>
              <w:rPr>
                <w:rFonts w:ascii="Arial" w:eastAsia="Times New Roman" w:hAnsi="Arial" w:cs="Arial"/>
                <w:color w:val="auto"/>
                <w:szCs w:val="22"/>
              </w:rPr>
              <w:t>2019/20</w:t>
            </w:r>
          </w:p>
        </w:tc>
        <w:tc>
          <w:tcPr>
            <w:tcW w:w="2412" w:type="dxa"/>
            <w:noWrap/>
            <w:hideMark/>
          </w:tcPr>
          <w:p w14:paraId="7F9D2DA1" w14:textId="5DB386F8" w:rsidR="001F5BE6" w:rsidRPr="00AA59B5" w:rsidRDefault="004F5FA4" w:rsidP="00542A9F">
            <w:pPr>
              <w:spacing w:after="0" w:line="240" w:lineRule="auto"/>
              <w:ind w:right="1062"/>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2</w:t>
            </w:r>
            <w:r w:rsidR="00302A23">
              <w:rPr>
                <w:rFonts w:ascii="Arial" w:eastAsia="Times New Roman" w:hAnsi="Arial" w:cs="Arial"/>
                <w:color w:val="auto"/>
                <w:szCs w:val="22"/>
              </w:rPr>
              <w:t>%</w:t>
            </w:r>
          </w:p>
        </w:tc>
      </w:tr>
      <w:tr w:rsidR="003A7C23" w:rsidRPr="00AA59B5" w14:paraId="6F037850" w14:textId="77777777" w:rsidTr="003A7C23">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850" w:type="dxa"/>
            <w:hideMark/>
          </w:tcPr>
          <w:p w14:paraId="4A41AA42" w14:textId="223BE576" w:rsidR="001F5BE6" w:rsidRPr="00AA59B5" w:rsidRDefault="003A2D06" w:rsidP="00BB734F">
            <w:pPr>
              <w:autoSpaceDE w:val="0"/>
              <w:autoSpaceDN w:val="0"/>
              <w:adjustRightInd w:val="0"/>
              <w:spacing w:before="60" w:after="60" w:line="240" w:lineRule="auto"/>
              <w:rPr>
                <w:rFonts w:ascii="Arial" w:eastAsia="Times New Roman" w:hAnsi="Arial" w:cs="Arial"/>
                <w:color w:val="auto"/>
                <w:szCs w:val="22"/>
              </w:rPr>
            </w:pPr>
            <w:r>
              <w:rPr>
                <w:rFonts w:ascii="Arial" w:eastAsia="Times New Roman" w:hAnsi="Arial" w:cs="Arial"/>
                <w:color w:val="auto"/>
                <w:szCs w:val="22"/>
              </w:rPr>
              <w:t>2020/21</w:t>
            </w:r>
          </w:p>
        </w:tc>
        <w:tc>
          <w:tcPr>
            <w:tcW w:w="2412" w:type="dxa"/>
            <w:noWrap/>
            <w:hideMark/>
          </w:tcPr>
          <w:p w14:paraId="542D758D" w14:textId="7F67E737" w:rsidR="001F5BE6" w:rsidRPr="00AA59B5" w:rsidRDefault="004F5FA4" w:rsidP="00A66EDA">
            <w:pPr>
              <w:spacing w:after="0" w:line="240" w:lineRule="auto"/>
              <w:ind w:right="1062"/>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Cs w:val="22"/>
              </w:rPr>
            </w:pPr>
            <w:r>
              <w:rPr>
                <w:rFonts w:ascii="Arial" w:eastAsia="Times New Roman" w:hAnsi="Arial" w:cs="Arial"/>
                <w:color w:val="auto"/>
                <w:szCs w:val="22"/>
              </w:rPr>
              <w:t>5</w:t>
            </w:r>
            <w:r w:rsidR="00302A23">
              <w:rPr>
                <w:rFonts w:ascii="Arial" w:eastAsia="Times New Roman" w:hAnsi="Arial" w:cs="Arial"/>
                <w:color w:val="auto"/>
                <w:szCs w:val="22"/>
              </w:rPr>
              <w:t>%</w:t>
            </w:r>
          </w:p>
        </w:tc>
      </w:tr>
      <w:tr w:rsidR="001F5BE6" w:rsidRPr="00AA59B5" w14:paraId="16737DDA" w14:textId="77777777" w:rsidTr="00241208">
        <w:trPr>
          <w:trHeight w:val="710"/>
        </w:trPr>
        <w:tc>
          <w:tcPr>
            <w:cnfStyle w:val="001000000000" w:firstRow="0" w:lastRow="0" w:firstColumn="1" w:lastColumn="0" w:oddVBand="0" w:evenVBand="0" w:oddHBand="0" w:evenHBand="0" w:firstRowFirstColumn="0" w:firstRowLastColumn="0" w:lastRowFirstColumn="0" w:lastRowLastColumn="0"/>
            <w:tcW w:w="5850" w:type="dxa"/>
            <w:shd w:val="clear" w:color="auto" w:fill="365F91" w:themeFill="accent1" w:themeFillShade="BF"/>
            <w:vAlign w:val="center"/>
            <w:hideMark/>
          </w:tcPr>
          <w:p w14:paraId="732B89F3" w14:textId="77777777" w:rsidR="001F5BE6" w:rsidRPr="00AA59B5" w:rsidRDefault="00FC70A7" w:rsidP="00241208">
            <w:pPr>
              <w:autoSpaceDE w:val="0"/>
              <w:autoSpaceDN w:val="0"/>
              <w:adjustRightInd w:val="0"/>
              <w:spacing w:after="0" w:line="240" w:lineRule="auto"/>
              <w:jc w:val="center"/>
              <w:rPr>
                <w:rFonts w:ascii="Arial" w:eastAsia="Times New Roman" w:hAnsi="Arial" w:cs="Arial"/>
                <w:color w:val="FFFFFF" w:themeColor="background1"/>
                <w:szCs w:val="22"/>
              </w:rPr>
            </w:pPr>
            <w:r w:rsidRPr="00AA59B5">
              <w:rPr>
                <w:rFonts w:ascii="Arial" w:eastAsia="Times New Roman" w:hAnsi="Arial" w:cs="Arial"/>
                <w:color w:val="FFFFFF" w:themeColor="background1"/>
                <w:szCs w:val="22"/>
              </w:rPr>
              <w:t>Median DBE Attainment Within the Last Three (3) Years</w:t>
            </w:r>
          </w:p>
        </w:tc>
        <w:tc>
          <w:tcPr>
            <w:tcW w:w="2412" w:type="dxa"/>
            <w:shd w:val="clear" w:color="auto" w:fill="365F91" w:themeFill="accent1" w:themeFillShade="BF"/>
            <w:noWrap/>
            <w:vAlign w:val="center"/>
            <w:hideMark/>
          </w:tcPr>
          <w:p w14:paraId="685816E7" w14:textId="30C57A52" w:rsidR="001F5BE6" w:rsidRPr="00AA59B5" w:rsidRDefault="004F5FA4" w:rsidP="00A66EDA">
            <w:pPr>
              <w:spacing w:after="0" w:line="240" w:lineRule="auto"/>
              <w:ind w:right="1062"/>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Cs w:val="22"/>
              </w:rPr>
            </w:pPr>
            <w:r>
              <w:rPr>
                <w:rFonts w:ascii="Arial" w:eastAsia="Times New Roman" w:hAnsi="Arial" w:cs="Arial"/>
                <w:b/>
                <w:color w:val="FFFFFF" w:themeColor="background1"/>
                <w:szCs w:val="22"/>
              </w:rPr>
              <w:t>2</w:t>
            </w:r>
            <w:r w:rsidR="002F2FF9">
              <w:rPr>
                <w:rFonts w:ascii="Arial" w:eastAsia="Times New Roman" w:hAnsi="Arial" w:cs="Arial"/>
                <w:b/>
                <w:color w:val="FFFFFF" w:themeColor="background1"/>
                <w:szCs w:val="22"/>
              </w:rPr>
              <w:t>%</w:t>
            </w:r>
          </w:p>
        </w:tc>
      </w:tr>
    </w:tbl>
    <w:p w14:paraId="67AFD72E" w14:textId="77777777" w:rsidR="001F5BE6" w:rsidRPr="00AA59B5" w:rsidRDefault="001F5BE6" w:rsidP="001F5BE6">
      <w:pPr>
        <w:autoSpaceDE w:val="0"/>
        <w:autoSpaceDN w:val="0"/>
        <w:adjustRightInd w:val="0"/>
        <w:spacing w:after="0" w:line="240" w:lineRule="auto"/>
        <w:ind w:left="360"/>
        <w:jc w:val="both"/>
        <w:rPr>
          <w:rFonts w:ascii="Arial" w:eastAsia="Times New Roman" w:hAnsi="Arial" w:cs="Arial"/>
          <w:color w:val="auto"/>
          <w:szCs w:val="22"/>
        </w:rPr>
      </w:pPr>
      <w:r w:rsidRPr="00AA59B5">
        <w:rPr>
          <w:rFonts w:ascii="Arial" w:eastAsia="Times New Roman" w:hAnsi="Arial" w:cs="Arial"/>
          <w:color w:val="auto"/>
          <w:szCs w:val="22"/>
        </w:rPr>
        <w:t>* thr</w:t>
      </w:r>
      <w:r w:rsidR="002B7598" w:rsidRPr="00AA59B5">
        <w:rPr>
          <w:rFonts w:ascii="Arial" w:eastAsia="Times New Roman" w:hAnsi="Arial" w:cs="Arial"/>
          <w:color w:val="auto"/>
          <w:szCs w:val="22"/>
        </w:rPr>
        <w:t>ough</w:t>
      </w:r>
      <w:r w:rsidRPr="00AA59B5">
        <w:rPr>
          <w:rFonts w:ascii="Arial" w:eastAsia="Times New Roman" w:hAnsi="Arial" w:cs="Arial"/>
          <w:color w:val="auto"/>
          <w:szCs w:val="22"/>
        </w:rPr>
        <w:t xml:space="preserve"> </w:t>
      </w:r>
      <w:r w:rsidR="00542A9F" w:rsidRPr="00AA59B5">
        <w:rPr>
          <w:rFonts w:ascii="Arial" w:eastAsia="Times New Roman" w:hAnsi="Arial" w:cs="Arial"/>
          <w:color w:val="auto"/>
          <w:szCs w:val="22"/>
        </w:rPr>
        <w:t>03</w:t>
      </w:r>
      <w:r w:rsidRPr="00AA59B5">
        <w:rPr>
          <w:rFonts w:ascii="Arial" w:eastAsia="Times New Roman" w:hAnsi="Arial" w:cs="Arial"/>
          <w:color w:val="auto"/>
          <w:szCs w:val="22"/>
        </w:rPr>
        <w:t>/</w:t>
      </w:r>
      <w:r w:rsidR="00542A9F" w:rsidRPr="00AA59B5">
        <w:rPr>
          <w:rFonts w:ascii="Arial" w:eastAsia="Times New Roman" w:hAnsi="Arial" w:cs="Arial"/>
          <w:color w:val="auto"/>
          <w:szCs w:val="22"/>
        </w:rPr>
        <w:t>31</w:t>
      </w:r>
      <w:r w:rsidR="00540B82">
        <w:rPr>
          <w:rFonts w:ascii="Arial" w:eastAsia="Times New Roman" w:hAnsi="Arial" w:cs="Arial"/>
          <w:color w:val="auto"/>
          <w:szCs w:val="22"/>
        </w:rPr>
        <w:t>/18</w:t>
      </w:r>
    </w:p>
    <w:p w14:paraId="5FDEE862" w14:textId="77777777" w:rsidR="001F5BE6" w:rsidRPr="00AA59B5" w:rsidRDefault="001F5BE6" w:rsidP="001F5BE6">
      <w:pPr>
        <w:autoSpaceDE w:val="0"/>
        <w:autoSpaceDN w:val="0"/>
        <w:adjustRightInd w:val="0"/>
        <w:spacing w:after="0" w:line="240" w:lineRule="auto"/>
        <w:ind w:left="360"/>
        <w:jc w:val="both"/>
        <w:rPr>
          <w:rFonts w:ascii="Arial" w:eastAsia="Times New Roman" w:hAnsi="Arial" w:cs="Arial"/>
          <w:color w:val="auto"/>
          <w:szCs w:val="22"/>
        </w:rPr>
      </w:pPr>
    </w:p>
    <w:p w14:paraId="0585EE4B" w14:textId="311E39EE" w:rsidR="003A532B" w:rsidRPr="00AA59B5" w:rsidRDefault="003A532B" w:rsidP="001F5BE6">
      <w:pPr>
        <w:autoSpaceDE w:val="0"/>
        <w:autoSpaceDN w:val="0"/>
        <w:adjustRightInd w:val="0"/>
        <w:spacing w:after="0" w:line="240" w:lineRule="auto"/>
        <w:ind w:left="360"/>
        <w:jc w:val="both"/>
        <w:rPr>
          <w:rFonts w:ascii="Arial" w:eastAsia="Times New Roman" w:hAnsi="Arial" w:cs="Arial"/>
          <w:color w:val="auto"/>
          <w:szCs w:val="22"/>
        </w:rPr>
      </w:pPr>
      <w:r w:rsidRPr="00AA59B5">
        <w:rPr>
          <w:rFonts w:ascii="Arial" w:eastAsia="Times New Roman" w:hAnsi="Arial" w:cs="Arial"/>
          <w:color w:val="auto"/>
          <w:szCs w:val="22"/>
        </w:rPr>
        <w:t xml:space="preserve">All of the evidence available in the </w:t>
      </w:r>
      <w:r w:rsidR="00461327">
        <w:rPr>
          <w:rFonts w:ascii="Arial" w:eastAsia="Times New Roman" w:hAnsi="Arial" w:cs="Arial"/>
          <w:color w:val="auto"/>
          <w:szCs w:val="22"/>
        </w:rPr>
        <w:t>VVTA’S</w:t>
      </w:r>
      <w:r w:rsidRPr="00AA59B5">
        <w:rPr>
          <w:rFonts w:ascii="Arial" w:eastAsia="Times New Roman" w:hAnsi="Arial" w:cs="Arial"/>
          <w:color w:val="auto"/>
          <w:szCs w:val="22"/>
        </w:rPr>
        <w:t xml:space="preserve"> jurisdiction has been examined and the evidence does suggest that an adjustment to the base figure is nece</w:t>
      </w:r>
      <w:r w:rsidR="00CA1BA3">
        <w:rPr>
          <w:rFonts w:ascii="Arial" w:eastAsia="Times New Roman" w:hAnsi="Arial" w:cs="Arial"/>
          <w:color w:val="auto"/>
          <w:szCs w:val="22"/>
        </w:rPr>
        <w:t>ssary.  In anticipation of meeting the goal as evidenced by the last two fiscal ye</w:t>
      </w:r>
      <w:r w:rsidR="00540B82">
        <w:rPr>
          <w:rFonts w:ascii="Arial" w:eastAsia="Times New Roman" w:hAnsi="Arial" w:cs="Arial"/>
          <w:color w:val="auto"/>
          <w:szCs w:val="22"/>
        </w:rPr>
        <w:t xml:space="preserve">ars, the adjustment is made to </w:t>
      </w:r>
      <w:r w:rsidR="004F5FA4">
        <w:rPr>
          <w:rFonts w:ascii="Arial" w:eastAsia="Times New Roman" w:hAnsi="Arial" w:cs="Arial"/>
          <w:color w:val="auto"/>
          <w:szCs w:val="22"/>
        </w:rPr>
        <w:t>4</w:t>
      </w:r>
      <w:r w:rsidR="00CA1BA3">
        <w:rPr>
          <w:rFonts w:ascii="Arial" w:eastAsia="Times New Roman" w:hAnsi="Arial" w:cs="Arial"/>
          <w:color w:val="auto"/>
          <w:szCs w:val="22"/>
        </w:rPr>
        <w:t>.00</w:t>
      </w:r>
      <w:r w:rsidR="00302A23">
        <w:rPr>
          <w:rFonts w:ascii="Arial" w:eastAsia="Times New Roman" w:hAnsi="Arial" w:cs="Arial"/>
          <w:color w:val="auto"/>
          <w:szCs w:val="22"/>
        </w:rPr>
        <w:t xml:space="preserve">% as VVTA’s DBE Goal for FY </w:t>
      </w:r>
      <w:r w:rsidR="004F5FA4">
        <w:rPr>
          <w:rFonts w:ascii="Arial" w:eastAsia="Times New Roman" w:hAnsi="Arial" w:cs="Arial"/>
          <w:color w:val="auto"/>
          <w:szCs w:val="22"/>
        </w:rPr>
        <w:t>202</w:t>
      </w:r>
      <w:r w:rsidR="00D958AB">
        <w:rPr>
          <w:rFonts w:ascii="Arial" w:eastAsia="Times New Roman" w:hAnsi="Arial" w:cs="Arial"/>
          <w:color w:val="auto"/>
          <w:szCs w:val="22"/>
        </w:rPr>
        <w:t>2</w:t>
      </w:r>
      <w:r w:rsidR="004F5FA4">
        <w:rPr>
          <w:rFonts w:ascii="Arial" w:eastAsia="Times New Roman" w:hAnsi="Arial" w:cs="Arial"/>
          <w:color w:val="auto"/>
          <w:szCs w:val="22"/>
        </w:rPr>
        <w:t>-2024</w:t>
      </w:r>
      <w:r w:rsidR="00CA1BA3">
        <w:rPr>
          <w:rFonts w:ascii="Arial" w:eastAsia="Times New Roman" w:hAnsi="Arial" w:cs="Arial"/>
          <w:color w:val="auto"/>
          <w:szCs w:val="22"/>
        </w:rPr>
        <w:t>.</w:t>
      </w:r>
    </w:p>
    <w:p w14:paraId="7E135BEE" w14:textId="77777777" w:rsidR="00111751" w:rsidRPr="00AA59B5" w:rsidRDefault="00111751" w:rsidP="001F5BE6">
      <w:pPr>
        <w:autoSpaceDE w:val="0"/>
        <w:autoSpaceDN w:val="0"/>
        <w:adjustRightInd w:val="0"/>
        <w:spacing w:after="0" w:line="240" w:lineRule="auto"/>
        <w:ind w:left="360"/>
        <w:jc w:val="both"/>
        <w:rPr>
          <w:rFonts w:ascii="Arial" w:eastAsia="Times New Roman" w:hAnsi="Arial" w:cs="Arial"/>
          <w:color w:val="FF0000"/>
          <w:szCs w:val="22"/>
        </w:rPr>
      </w:pPr>
    </w:p>
    <w:p w14:paraId="47BAAB80" w14:textId="77777777" w:rsidR="00111751" w:rsidRPr="00AA59B5" w:rsidRDefault="00111751" w:rsidP="00111751">
      <w:pPr>
        <w:pStyle w:val="Heading1"/>
        <w:spacing w:before="120"/>
        <w:ind w:left="360"/>
        <w:rPr>
          <w:rFonts w:ascii="Arial" w:hAnsi="Arial" w:cs="Arial"/>
          <w:color w:val="auto"/>
          <w:sz w:val="22"/>
          <w:szCs w:val="22"/>
        </w:rPr>
      </w:pPr>
      <w:bookmarkStart w:id="10" w:name="_Toc331766554"/>
      <w:r w:rsidRPr="00AA59B5">
        <w:rPr>
          <w:rFonts w:ascii="Arial" w:hAnsi="Arial" w:cs="Arial"/>
          <w:color w:val="auto"/>
          <w:sz w:val="22"/>
          <w:szCs w:val="22"/>
        </w:rPr>
        <w:lastRenderedPageBreak/>
        <w:t xml:space="preserve">B. </w:t>
      </w:r>
      <w:r w:rsidR="00AA59B5">
        <w:rPr>
          <w:rFonts w:ascii="Arial" w:hAnsi="Arial" w:cs="Arial"/>
          <w:color w:val="auto"/>
          <w:sz w:val="22"/>
          <w:szCs w:val="22"/>
        </w:rPr>
        <w:t>VVTA</w:t>
      </w:r>
      <w:r w:rsidRPr="00AA59B5">
        <w:rPr>
          <w:rFonts w:ascii="Arial" w:hAnsi="Arial" w:cs="Arial"/>
          <w:color w:val="auto"/>
          <w:sz w:val="22"/>
          <w:szCs w:val="22"/>
        </w:rPr>
        <w:t xml:space="preserve"> Bidder’s List</w:t>
      </w:r>
      <w:bookmarkEnd w:id="10"/>
      <w:r w:rsidRPr="00AA59B5">
        <w:rPr>
          <w:rFonts w:ascii="Arial" w:hAnsi="Arial" w:cs="Arial"/>
          <w:color w:val="auto"/>
          <w:sz w:val="22"/>
          <w:szCs w:val="22"/>
        </w:rPr>
        <w:t xml:space="preserve"> </w:t>
      </w:r>
    </w:p>
    <w:p w14:paraId="5F523905" w14:textId="77777777" w:rsidR="00111751" w:rsidRPr="00AA59B5" w:rsidRDefault="00AA59B5" w:rsidP="00111751">
      <w:pPr>
        <w:autoSpaceDE w:val="0"/>
        <w:autoSpaceDN w:val="0"/>
        <w:adjustRightInd w:val="0"/>
        <w:spacing w:after="0" w:line="240" w:lineRule="auto"/>
        <w:ind w:left="360"/>
        <w:jc w:val="both"/>
        <w:rPr>
          <w:rFonts w:ascii="Arial" w:eastAsia="Times New Roman" w:hAnsi="Arial" w:cs="Arial"/>
          <w:color w:val="auto"/>
          <w:szCs w:val="22"/>
        </w:rPr>
      </w:pPr>
      <w:r>
        <w:rPr>
          <w:rFonts w:ascii="Arial" w:eastAsia="Times New Roman" w:hAnsi="Arial" w:cs="Arial"/>
          <w:color w:val="auto"/>
          <w:szCs w:val="22"/>
        </w:rPr>
        <w:t>VVTA</w:t>
      </w:r>
      <w:r w:rsidR="00111751" w:rsidRPr="00AA59B5">
        <w:rPr>
          <w:rFonts w:ascii="Arial" w:eastAsia="Times New Roman" w:hAnsi="Arial" w:cs="Arial"/>
          <w:color w:val="auto"/>
          <w:szCs w:val="22"/>
        </w:rPr>
        <w:t xml:space="preserve"> </w:t>
      </w:r>
      <w:r w:rsidR="008B329A" w:rsidRPr="00AA59B5">
        <w:rPr>
          <w:rFonts w:ascii="Arial" w:eastAsia="Times New Roman" w:hAnsi="Arial" w:cs="Arial"/>
          <w:color w:val="auto"/>
          <w:szCs w:val="22"/>
        </w:rPr>
        <w:t xml:space="preserve">will </w:t>
      </w:r>
      <w:r w:rsidR="00CA1BA3" w:rsidRPr="00AA59B5">
        <w:rPr>
          <w:rFonts w:ascii="Arial" w:eastAsia="Times New Roman" w:hAnsi="Arial" w:cs="Arial"/>
          <w:color w:val="auto"/>
          <w:szCs w:val="22"/>
        </w:rPr>
        <w:t>continue to</w:t>
      </w:r>
      <w:r w:rsidR="00111751" w:rsidRPr="00AA59B5">
        <w:rPr>
          <w:rFonts w:ascii="Arial" w:eastAsia="Times New Roman" w:hAnsi="Arial" w:cs="Arial"/>
          <w:color w:val="auto"/>
          <w:szCs w:val="22"/>
        </w:rPr>
        <w:t xml:space="preserve"> capture Bidders List information </w:t>
      </w:r>
      <w:r w:rsidR="008B329A" w:rsidRPr="00AA59B5">
        <w:rPr>
          <w:rFonts w:ascii="Arial" w:eastAsia="Times New Roman" w:hAnsi="Arial" w:cs="Arial"/>
          <w:color w:val="auto"/>
          <w:szCs w:val="22"/>
        </w:rPr>
        <w:t xml:space="preserve">for </w:t>
      </w:r>
      <w:r w:rsidR="00111751" w:rsidRPr="00AA59B5">
        <w:rPr>
          <w:rFonts w:ascii="Arial" w:eastAsia="Times New Roman" w:hAnsi="Arial" w:cs="Arial"/>
          <w:color w:val="auto"/>
          <w:szCs w:val="22"/>
        </w:rPr>
        <w:t xml:space="preserve">  the</w:t>
      </w:r>
      <w:r w:rsidR="008B329A" w:rsidRPr="00AA59B5">
        <w:rPr>
          <w:rFonts w:ascii="Arial" w:eastAsia="Times New Roman" w:hAnsi="Arial" w:cs="Arial"/>
          <w:color w:val="auto"/>
          <w:szCs w:val="22"/>
        </w:rPr>
        <w:t xml:space="preserve"> identification </w:t>
      </w:r>
      <w:r w:rsidR="00CA1BA3" w:rsidRPr="00AA59B5">
        <w:rPr>
          <w:rFonts w:ascii="Arial" w:eastAsia="Times New Roman" w:hAnsi="Arial" w:cs="Arial"/>
          <w:color w:val="auto"/>
          <w:szCs w:val="22"/>
        </w:rPr>
        <w:t>and potential</w:t>
      </w:r>
      <w:r w:rsidR="00111751" w:rsidRPr="00AA59B5">
        <w:rPr>
          <w:rFonts w:ascii="Arial" w:eastAsia="Times New Roman" w:hAnsi="Arial" w:cs="Arial"/>
          <w:color w:val="auto"/>
          <w:szCs w:val="22"/>
        </w:rPr>
        <w:t xml:space="preserve"> use in</w:t>
      </w:r>
      <w:r w:rsidR="008B329A" w:rsidRPr="00AA59B5">
        <w:rPr>
          <w:rFonts w:ascii="Arial" w:eastAsia="Times New Roman" w:hAnsi="Arial" w:cs="Arial"/>
          <w:color w:val="auto"/>
          <w:szCs w:val="22"/>
        </w:rPr>
        <w:t xml:space="preserve"> meeting</w:t>
      </w:r>
      <w:r w:rsidR="00111751" w:rsidRPr="00AA59B5">
        <w:rPr>
          <w:rFonts w:ascii="Arial" w:eastAsia="Times New Roman" w:hAnsi="Arial" w:cs="Arial"/>
          <w:color w:val="auto"/>
          <w:szCs w:val="22"/>
        </w:rPr>
        <w:t xml:space="preserve"> future DBE goal determinations. </w:t>
      </w:r>
    </w:p>
    <w:p w14:paraId="706267C1" w14:textId="77777777" w:rsidR="00111751" w:rsidRPr="00AA59B5" w:rsidRDefault="00111751" w:rsidP="001F5BE6">
      <w:pPr>
        <w:autoSpaceDE w:val="0"/>
        <w:autoSpaceDN w:val="0"/>
        <w:adjustRightInd w:val="0"/>
        <w:spacing w:after="0" w:line="240" w:lineRule="auto"/>
        <w:ind w:left="360"/>
        <w:jc w:val="both"/>
        <w:rPr>
          <w:rFonts w:ascii="Arial" w:eastAsia="Times New Roman" w:hAnsi="Arial" w:cs="Arial"/>
          <w:color w:val="FF0000"/>
          <w:szCs w:val="22"/>
        </w:rPr>
      </w:pPr>
    </w:p>
    <w:p w14:paraId="0A334962" w14:textId="77777777" w:rsidR="009538A4" w:rsidRPr="00AA59B5" w:rsidRDefault="009538A4" w:rsidP="001F5BE6">
      <w:pPr>
        <w:autoSpaceDE w:val="0"/>
        <w:autoSpaceDN w:val="0"/>
        <w:adjustRightInd w:val="0"/>
        <w:spacing w:after="0" w:line="240" w:lineRule="auto"/>
        <w:ind w:left="360"/>
        <w:jc w:val="both"/>
        <w:rPr>
          <w:rFonts w:ascii="Arial" w:hAnsi="Arial" w:cs="Arial"/>
          <w:b/>
          <w:color w:val="auto"/>
          <w:szCs w:val="22"/>
        </w:rPr>
      </w:pPr>
      <w:r w:rsidRPr="00AA59B5">
        <w:rPr>
          <w:rFonts w:ascii="Arial" w:hAnsi="Arial" w:cs="Arial"/>
          <w:b/>
          <w:color w:val="auto"/>
          <w:szCs w:val="22"/>
        </w:rPr>
        <w:t xml:space="preserve">C. Other Available Evidence </w:t>
      </w:r>
    </w:p>
    <w:p w14:paraId="6C92E83A" w14:textId="4776DDEB" w:rsidR="00D85E51" w:rsidRPr="00AA59B5" w:rsidRDefault="00AA59B5" w:rsidP="000062D3">
      <w:pPr>
        <w:autoSpaceDE w:val="0"/>
        <w:autoSpaceDN w:val="0"/>
        <w:adjustRightInd w:val="0"/>
        <w:spacing w:after="0" w:line="240" w:lineRule="auto"/>
        <w:ind w:left="360"/>
        <w:jc w:val="both"/>
        <w:rPr>
          <w:rFonts w:ascii="Arial" w:eastAsia="Times New Roman" w:hAnsi="Arial" w:cs="Arial"/>
          <w:color w:val="auto"/>
          <w:szCs w:val="22"/>
        </w:rPr>
      </w:pPr>
      <w:r>
        <w:rPr>
          <w:rFonts w:ascii="Arial" w:eastAsia="Times New Roman" w:hAnsi="Arial" w:cs="Arial"/>
          <w:color w:val="auto"/>
          <w:szCs w:val="22"/>
        </w:rPr>
        <w:t>VVTA</w:t>
      </w:r>
      <w:r w:rsidR="009538A4" w:rsidRPr="00AA59B5">
        <w:rPr>
          <w:rFonts w:ascii="Arial" w:eastAsia="Times New Roman" w:hAnsi="Arial" w:cs="Arial"/>
          <w:color w:val="auto"/>
          <w:szCs w:val="22"/>
        </w:rPr>
        <w:t xml:space="preserve"> is not aware of any current disparity studies within their jurisdiction and/or market area to consider in this step of the goal setting analysis.</w:t>
      </w:r>
      <w:r w:rsidR="004F5FA4">
        <w:rPr>
          <w:rFonts w:ascii="Arial" w:eastAsia="Times New Roman" w:hAnsi="Arial" w:cs="Arial"/>
          <w:color w:val="auto"/>
          <w:szCs w:val="22"/>
        </w:rPr>
        <w:t xml:space="preserve">  </w:t>
      </w:r>
    </w:p>
    <w:p w14:paraId="5AE3D8AD" w14:textId="77777777" w:rsidR="00D012BA" w:rsidRPr="00AA59B5" w:rsidRDefault="00423EBA" w:rsidP="00094522">
      <w:pPr>
        <w:pStyle w:val="Heading1"/>
        <w:spacing w:after="240"/>
        <w:rPr>
          <w:rFonts w:ascii="Arial" w:hAnsi="Arial" w:cs="Arial"/>
          <w:sz w:val="22"/>
          <w:szCs w:val="22"/>
        </w:rPr>
      </w:pPr>
      <w:bookmarkStart w:id="11" w:name="_Toc331591923"/>
      <w:r w:rsidRPr="00AA59B5">
        <w:rPr>
          <w:rFonts w:ascii="Arial" w:hAnsi="Arial" w:cs="Arial"/>
          <w:sz w:val="22"/>
          <w:szCs w:val="22"/>
        </w:rPr>
        <w:t>V.</w:t>
      </w:r>
      <w:r w:rsidRPr="00AA59B5">
        <w:rPr>
          <w:rFonts w:ascii="Arial" w:hAnsi="Arial" w:cs="Arial"/>
          <w:sz w:val="22"/>
          <w:szCs w:val="22"/>
        </w:rPr>
        <w:tab/>
      </w:r>
      <w:r w:rsidR="008A1C84" w:rsidRPr="00AA59B5">
        <w:rPr>
          <w:rFonts w:ascii="Arial" w:hAnsi="Arial" w:cs="Arial"/>
          <w:sz w:val="22"/>
          <w:szCs w:val="22"/>
        </w:rPr>
        <w:t>PROPOSED OVERALL DBE GOAL</w:t>
      </w:r>
      <w:bookmarkEnd w:id="11"/>
    </w:p>
    <w:p w14:paraId="71FC5C5B" w14:textId="21DAE111" w:rsidR="00FC70A7" w:rsidRPr="00AA59B5" w:rsidRDefault="008A1C84" w:rsidP="00005DBE">
      <w:pPr>
        <w:autoSpaceDE w:val="0"/>
        <w:autoSpaceDN w:val="0"/>
        <w:adjustRightInd w:val="0"/>
        <w:spacing w:after="0" w:line="240" w:lineRule="auto"/>
        <w:jc w:val="both"/>
        <w:rPr>
          <w:rFonts w:ascii="Arial" w:eastAsia="Times New Roman" w:hAnsi="Arial" w:cs="Arial"/>
          <w:color w:val="auto"/>
          <w:szCs w:val="22"/>
        </w:rPr>
      </w:pPr>
      <w:r w:rsidRPr="00AA59B5">
        <w:rPr>
          <w:rFonts w:ascii="Arial" w:eastAsia="Times New Roman" w:hAnsi="Arial" w:cs="Arial"/>
          <w:b/>
          <w:color w:val="auto"/>
          <w:szCs w:val="22"/>
        </w:rPr>
        <w:t>The Final Propo</w:t>
      </w:r>
      <w:r w:rsidR="00302A23">
        <w:rPr>
          <w:rFonts w:ascii="Arial" w:eastAsia="Times New Roman" w:hAnsi="Arial" w:cs="Arial"/>
          <w:b/>
          <w:color w:val="auto"/>
          <w:szCs w:val="22"/>
        </w:rPr>
        <w:t xml:space="preserve">sed Overall DBE Goal for FFY </w:t>
      </w:r>
      <w:r w:rsidR="00D958AB">
        <w:rPr>
          <w:rFonts w:ascii="Arial" w:eastAsia="Times New Roman" w:hAnsi="Arial" w:cs="Arial"/>
          <w:b/>
          <w:color w:val="auto"/>
          <w:szCs w:val="22"/>
        </w:rPr>
        <w:t>2022-2024</w:t>
      </w:r>
      <w:r w:rsidRPr="00AA59B5">
        <w:rPr>
          <w:rFonts w:ascii="Arial" w:eastAsia="Times New Roman" w:hAnsi="Arial" w:cs="Arial"/>
          <w:b/>
          <w:color w:val="auto"/>
          <w:szCs w:val="22"/>
        </w:rPr>
        <w:t xml:space="preserve"> for </w:t>
      </w:r>
      <w:r w:rsidR="00461327">
        <w:rPr>
          <w:rFonts w:ascii="Arial" w:eastAsia="Times New Roman" w:hAnsi="Arial" w:cs="Arial"/>
          <w:b/>
          <w:color w:val="auto"/>
          <w:szCs w:val="22"/>
        </w:rPr>
        <w:t>VVTA’S</w:t>
      </w:r>
      <w:r w:rsidRPr="00AA59B5">
        <w:rPr>
          <w:rFonts w:ascii="Arial" w:eastAsia="Times New Roman" w:hAnsi="Arial" w:cs="Arial"/>
          <w:b/>
          <w:color w:val="auto"/>
          <w:szCs w:val="22"/>
        </w:rPr>
        <w:t xml:space="preserve"> FTA-assisted contracts is </w:t>
      </w:r>
      <w:r w:rsidR="004F5FA4">
        <w:rPr>
          <w:rFonts w:ascii="Arial" w:eastAsia="Times New Roman" w:hAnsi="Arial" w:cs="Arial"/>
          <w:b/>
          <w:color w:val="auto"/>
          <w:szCs w:val="22"/>
        </w:rPr>
        <w:t>4</w:t>
      </w:r>
      <w:r w:rsidR="00CA1BA3">
        <w:rPr>
          <w:rFonts w:ascii="Arial" w:eastAsia="Times New Roman" w:hAnsi="Arial" w:cs="Arial"/>
          <w:b/>
          <w:color w:val="auto"/>
          <w:szCs w:val="22"/>
        </w:rPr>
        <w:t>.00</w:t>
      </w:r>
      <w:r w:rsidRPr="00AA59B5">
        <w:rPr>
          <w:rFonts w:ascii="Arial" w:eastAsia="Times New Roman" w:hAnsi="Arial" w:cs="Arial"/>
          <w:b/>
          <w:color w:val="auto"/>
          <w:szCs w:val="22"/>
        </w:rPr>
        <w:t>%</w:t>
      </w:r>
      <w:r w:rsidRPr="00AA59B5">
        <w:rPr>
          <w:rFonts w:ascii="Arial" w:eastAsia="Times New Roman" w:hAnsi="Arial" w:cs="Arial"/>
          <w:color w:val="auto"/>
          <w:szCs w:val="22"/>
        </w:rPr>
        <w:t>.</w:t>
      </w:r>
      <w:r w:rsidR="00A66EDA" w:rsidRPr="00AA59B5">
        <w:rPr>
          <w:rFonts w:ascii="Arial" w:eastAsia="Times New Roman" w:hAnsi="Arial" w:cs="Arial"/>
          <w:color w:val="auto"/>
          <w:szCs w:val="22"/>
        </w:rPr>
        <w:t xml:space="preserve">  The DBE Goal based on the federal share is a Race Neutral goal and </w:t>
      </w:r>
      <w:r w:rsidR="00AA59B5">
        <w:rPr>
          <w:rFonts w:ascii="Arial" w:eastAsia="Times New Roman" w:hAnsi="Arial" w:cs="Arial"/>
          <w:color w:val="auto"/>
          <w:szCs w:val="22"/>
        </w:rPr>
        <w:t>VVTA</w:t>
      </w:r>
      <w:r w:rsidR="00A66EDA" w:rsidRPr="00AA59B5">
        <w:rPr>
          <w:rFonts w:ascii="Arial" w:eastAsia="Times New Roman" w:hAnsi="Arial" w:cs="Arial"/>
          <w:color w:val="auto"/>
          <w:szCs w:val="22"/>
        </w:rPr>
        <w:t xml:space="preserve"> will implement race neutral measures to achieve this goal, as generally described in the following section. </w:t>
      </w:r>
      <w:r w:rsidR="00005DBE" w:rsidRPr="00AA59B5">
        <w:rPr>
          <w:rFonts w:ascii="Arial" w:eastAsia="Times New Roman" w:hAnsi="Arial" w:cs="Arial"/>
          <w:color w:val="auto"/>
          <w:szCs w:val="22"/>
        </w:rPr>
        <w:t xml:space="preserve">As a part of the prescribed goal-setting methodology, </w:t>
      </w:r>
      <w:r w:rsidR="00AA59B5">
        <w:rPr>
          <w:rFonts w:ascii="Arial" w:eastAsia="Times New Roman" w:hAnsi="Arial" w:cs="Arial"/>
          <w:color w:val="auto"/>
          <w:szCs w:val="22"/>
        </w:rPr>
        <w:t>VVTA</w:t>
      </w:r>
      <w:r w:rsidR="00005DBE" w:rsidRPr="00AA59B5">
        <w:rPr>
          <w:rFonts w:ascii="Arial" w:eastAsia="Times New Roman" w:hAnsi="Arial" w:cs="Arial"/>
          <w:color w:val="auto"/>
          <w:szCs w:val="22"/>
        </w:rPr>
        <w:t xml:space="preserve"> must</w:t>
      </w:r>
      <w:r w:rsidR="0089429F" w:rsidRPr="00AA59B5">
        <w:rPr>
          <w:rFonts w:ascii="Arial" w:eastAsia="Times New Roman" w:hAnsi="Arial" w:cs="Arial"/>
          <w:color w:val="auto"/>
          <w:szCs w:val="22"/>
        </w:rPr>
        <w:t xml:space="preserve"> project t</w:t>
      </w:r>
      <w:r w:rsidR="00005DBE" w:rsidRPr="00AA59B5">
        <w:rPr>
          <w:rFonts w:ascii="Arial" w:eastAsia="Times New Roman" w:hAnsi="Arial" w:cs="Arial"/>
          <w:color w:val="auto"/>
          <w:szCs w:val="22"/>
        </w:rPr>
        <w:t xml:space="preserve">he percentage of its Proposed Overall DBE Goal that can be met utilizing race-neutral and race-conscious measures. </w:t>
      </w:r>
    </w:p>
    <w:p w14:paraId="79700465" w14:textId="77777777" w:rsidR="00A55768" w:rsidRPr="00AA59B5" w:rsidRDefault="00A55768" w:rsidP="00005DBE">
      <w:pPr>
        <w:autoSpaceDE w:val="0"/>
        <w:autoSpaceDN w:val="0"/>
        <w:adjustRightInd w:val="0"/>
        <w:spacing w:after="0" w:line="240" w:lineRule="auto"/>
        <w:jc w:val="both"/>
        <w:rPr>
          <w:rFonts w:ascii="Arial" w:eastAsia="Times New Roman" w:hAnsi="Arial" w:cs="Arial"/>
          <w:color w:val="auto"/>
          <w:szCs w:val="22"/>
        </w:rPr>
      </w:pPr>
    </w:p>
    <w:p w14:paraId="596581EA" w14:textId="77777777" w:rsidR="00645721" w:rsidRPr="00AA59B5" w:rsidRDefault="00645721" w:rsidP="00645721">
      <w:pPr>
        <w:autoSpaceDE w:val="0"/>
        <w:autoSpaceDN w:val="0"/>
        <w:adjustRightInd w:val="0"/>
        <w:spacing w:after="0" w:line="240" w:lineRule="auto"/>
        <w:jc w:val="both"/>
        <w:rPr>
          <w:rFonts w:ascii="Arial" w:eastAsia="Times New Roman" w:hAnsi="Arial" w:cs="Arial"/>
          <w:b/>
          <w:color w:val="auto"/>
          <w:szCs w:val="22"/>
        </w:rPr>
      </w:pPr>
      <w:r w:rsidRPr="00AA59B5">
        <w:rPr>
          <w:rFonts w:ascii="Arial" w:eastAsia="Times New Roman" w:hAnsi="Arial" w:cs="Arial"/>
          <w:b/>
          <w:color w:val="auto"/>
          <w:szCs w:val="22"/>
        </w:rPr>
        <w:t>Race-Conscious &amp; Race-Neutral Projection</w:t>
      </w:r>
    </w:p>
    <w:p w14:paraId="2635C527" w14:textId="4326149E" w:rsidR="00517B2D" w:rsidRPr="00AA59B5" w:rsidRDefault="00517B2D" w:rsidP="00517B2D">
      <w:pPr>
        <w:autoSpaceDE w:val="0"/>
        <w:autoSpaceDN w:val="0"/>
        <w:adjustRightInd w:val="0"/>
        <w:spacing w:after="0" w:line="240" w:lineRule="auto"/>
        <w:jc w:val="both"/>
        <w:rPr>
          <w:rFonts w:ascii="Arial" w:eastAsia="Times New Roman" w:hAnsi="Arial" w:cs="Arial"/>
          <w:color w:val="auto"/>
          <w:szCs w:val="22"/>
        </w:rPr>
      </w:pPr>
      <w:r w:rsidRPr="00AA59B5">
        <w:rPr>
          <w:rFonts w:ascii="Arial" w:eastAsia="Times New Roman" w:hAnsi="Arial" w:cs="Arial"/>
          <w:color w:val="auto"/>
          <w:szCs w:val="22"/>
        </w:rPr>
        <w:t xml:space="preserve">The </w:t>
      </w:r>
      <w:r w:rsidR="00AA59B5">
        <w:rPr>
          <w:rFonts w:ascii="Arial" w:eastAsia="Times New Roman" w:hAnsi="Arial" w:cs="Arial"/>
          <w:color w:val="auto"/>
          <w:szCs w:val="22"/>
        </w:rPr>
        <w:t>VVTA</w:t>
      </w:r>
      <w:r w:rsidRPr="00AA59B5">
        <w:rPr>
          <w:rFonts w:ascii="Arial" w:eastAsia="Times New Roman" w:hAnsi="Arial" w:cs="Arial"/>
          <w:color w:val="auto"/>
          <w:szCs w:val="22"/>
        </w:rPr>
        <w:t xml:space="preserve"> DBE goal </w:t>
      </w:r>
      <w:r w:rsidR="00302A23">
        <w:rPr>
          <w:rFonts w:ascii="Arial" w:eastAsia="Times New Roman" w:hAnsi="Arial" w:cs="Arial"/>
          <w:color w:val="auto"/>
          <w:szCs w:val="22"/>
        </w:rPr>
        <w:t>attainment data, which equals a</w:t>
      </w:r>
      <w:r w:rsidRPr="00AA59B5">
        <w:rPr>
          <w:rFonts w:ascii="Arial" w:eastAsia="Times New Roman" w:hAnsi="Arial" w:cs="Arial"/>
          <w:color w:val="auto"/>
          <w:szCs w:val="22"/>
        </w:rPr>
        <w:t xml:space="preserve"> </w:t>
      </w:r>
      <w:r w:rsidR="004F5FA4">
        <w:rPr>
          <w:rFonts w:ascii="Arial" w:eastAsia="Times New Roman" w:hAnsi="Arial" w:cs="Arial"/>
          <w:color w:val="auto"/>
          <w:szCs w:val="22"/>
        </w:rPr>
        <w:t>2</w:t>
      </w:r>
      <w:r w:rsidR="00CA1BA3">
        <w:rPr>
          <w:rFonts w:ascii="Arial" w:eastAsia="Times New Roman" w:hAnsi="Arial" w:cs="Arial"/>
          <w:color w:val="auto"/>
          <w:szCs w:val="22"/>
        </w:rPr>
        <w:t>.00</w:t>
      </w:r>
      <w:r w:rsidRPr="00AA59B5">
        <w:rPr>
          <w:rFonts w:ascii="Arial" w:eastAsia="Times New Roman" w:hAnsi="Arial" w:cs="Arial"/>
          <w:color w:val="auto"/>
          <w:szCs w:val="22"/>
        </w:rPr>
        <w:t>% mean</w:t>
      </w:r>
      <w:r w:rsidR="00302A23">
        <w:rPr>
          <w:rFonts w:ascii="Arial" w:eastAsia="Times New Roman" w:hAnsi="Arial" w:cs="Arial"/>
          <w:color w:val="auto"/>
          <w:szCs w:val="22"/>
        </w:rPr>
        <w:t>s</w:t>
      </w:r>
      <w:r w:rsidRPr="00AA59B5">
        <w:rPr>
          <w:rFonts w:ascii="Arial" w:eastAsia="Times New Roman" w:hAnsi="Arial" w:cs="Arial"/>
          <w:color w:val="auto"/>
          <w:szCs w:val="22"/>
        </w:rPr>
        <w:t xml:space="preserve"> for the past three years, demonstrates that </w:t>
      </w:r>
      <w:r w:rsidR="00AA59B5">
        <w:rPr>
          <w:rFonts w:ascii="Arial" w:eastAsia="Times New Roman" w:hAnsi="Arial" w:cs="Arial"/>
          <w:color w:val="auto"/>
          <w:szCs w:val="22"/>
        </w:rPr>
        <w:t>VVTA</w:t>
      </w:r>
      <w:r w:rsidRPr="00AA59B5">
        <w:rPr>
          <w:rFonts w:ascii="Arial" w:eastAsia="Times New Roman" w:hAnsi="Arial" w:cs="Arial"/>
          <w:color w:val="auto"/>
          <w:szCs w:val="22"/>
        </w:rPr>
        <w:t xml:space="preserve"> is able to meet the DBE goal through race neutral means.  </w:t>
      </w:r>
      <w:r w:rsidR="00AA59B5">
        <w:rPr>
          <w:rFonts w:ascii="Arial" w:eastAsia="Times New Roman" w:hAnsi="Arial" w:cs="Arial"/>
          <w:color w:val="auto"/>
          <w:szCs w:val="22"/>
        </w:rPr>
        <w:t>VVTA</w:t>
      </w:r>
      <w:r w:rsidRPr="00AA59B5">
        <w:rPr>
          <w:rFonts w:ascii="Arial" w:eastAsia="Times New Roman" w:hAnsi="Arial" w:cs="Arial"/>
          <w:color w:val="auto"/>
          <w:szCs w:val="22"/>
        </w:rPr>
        <w:t xml:space="preserve"> intends to continue to use race-neutral methods to meet the overall DBE goal of </w:t>
      </w:r>
      <w:r w:rsidR="004F5FA4">
        <w:rPr>
          <w:rFonts w:ascii="Arial" w:eastAsia="Times New Roman" w:hAnsi="Arial" w:cs="Arial"/>
          <w:color w:val="auto"/>
          <w:szCs w:val="22"/>
        </w:rPr>
        <w:t>4</w:t>
      </w:r>
      <w:r w:rsidR="000E767B">
        <w:rPr>
          <w:rFonts w:ascii="Arial" w:eastAsia="Times New Roman" w:hAnsi="Arial" w:cs="Arial"/>
          <w:color w:val="auto"/>
          <w:szCs w:val="22"/>
        </w:rPr>
        <w:t>.00</w:t>
      </w:r>
      <w:r w:rsidR="00084F9D" w:rsidRPr="00AA59B5">
        <w:rPr>
          <w:rFonts w:ascii="Arial" w:eastAsia="Times New Roman" w:hAnsi="Arial" w:cs="Arial"/>
          <w:color w:val="auto"/>
          <w:szCs w:val="22"/>
        </w:rPr>
        <w:t>%</w:t>
      </w:r>
      <w:r w:rsidR="00302A23">
        <w:rPr>
          <w:rFonts w:ascii="Arial" w:eastAsia="Times New Roman" w:hAnsi="Arial" w:cs="Arial"/>
          <w:color w:val="auto"/>
          <w:szCs w:val="22"/>
        </w:rPr>
        <w:t xml:space="preserve"> for FFY 20</w:t>
      </w:r>
      <w:r w:rsidR="004F5FA4">
        <w:rPr>
          <w:rFonts w:ascii="Arial" w:eastAsia="Times New Roman" w:hAnsi="Arial" w:cs="Arial"/>
          <w:color w:val="auto"/>
          <w:szCs w:val="22"/>
        </w:rPr>
        <w:t>2</w:t>
      </w:r>
      <w:r w:rsidR="00D958AB">
        <w:rPr>
          <w:rFonts w:ascii="Arial" w:eastAsia="Times New Roman" w:hAnsi="Arial" w:cs="Arial"/>
          <w:color w:val="auto"/>
          <w:szCs w:val="22"/>
        </w:rPr>
        <w:t>2</w:t>
      </w:r>
      <w:r w:rsidR="00302A23">
        <w:rPr>
          <w:rFonts w:ascii="Arial" w:eastAsia="Times New Roman" w:hAnsi="Arial" w:cs="Arial"/>
          <w:color w:val="auto"/>
          <w:szCs w:val="22"/>
        </w:rPr>
        <w:t>-202</w:t>
      </w:r>
      <w:r w:rsidR="004F5FA4">
        <w:rPr>
          <w:rFonts w:ascii="Arial" w:eastAsia="Times New Roman" w:hAnsi="Arial" w:cs="Arial"/>
          <w:color w:val="auto"/>
          <w:szCs w:val="22"/>
        </w:rPr>
        <w:t>4</w:t>
      </w:r>
      <w:r w:rsidRPr="00AA59B5">
        <w:rPr>
          <w:rFonts w:ascii="Arial" w:eastAsia="Times New Roman" w:hAnsi="Arial" w:cs="Arial"/>
          <w:color w:val="auto"/>
          <w:szCs w:val="22"/>
        </w:rPr>
        <w:t xml:space="preserve"> in accordance with Title 49 CFR Part 26.51. </w:t>
      </w:r>
    </w:p>
    <w:p w14:paraId="77D92628" w14:textId="77777777" w:rsidR="00645721" w:rsidRPr="00AA59B5" w:rsidRDefault="00645721" w:rsidP="00645721">
      <w:pPr>
        <w:autoSpaceDE w:val="0"/>
        <w:autoSpaceDN w:val="0"/>
        <w:adjustRightInd w:val="0"/>
        <w:spacing w:after="0" w:line="240" w:lineRule="auto"/>
        <w:jc w:val="both"/>
        <w:rPr>
          <w:rFonts w:ascii="Arial" w:eastAsia="Times New Roman" w:hAnsi="Arial" w:cs="Arial"/>
          <w:color w:val="FF0000"/>
          <w:szCs w:val="22"/>
        </w:rPr>
      </w:pPr>
    </w:p>
    <w:p w14:paraId="6099C730" w14:textId="77777777" w:rsidR="00645721" w:rsidRPr="00AA59B5" w:rsidRDefault="00645721" w:rsidP="00645721">
      <w:pPr>
        <w:autoSpaceDE w:val="0"/>
        <w:autoSpaceDN w:val="0"/>
        <w:adjustRightInd w:val="0"/>
        <w:spacing w:after="0" w:line="240" w:lineRule="auto"/>
        <w:jc w:val="both"/>
        <w:rPr>
          <w:rFonts w:ascii="Arial" w:eastAsia="Times New Roman" w:hAnsi="Arial" w:cs="Arial"/>
          <w:color w:val="auto"/>
          <w:szCs w:val="22"/>
        </w:rPr>
      </w:pPr>
    </w:p>
    <w:tbl>
      <w:tblPr>
        <w:tblStyle w:val="LightGrid-Accent1"/>
        <w:tblW w:w="0" w:type="auto"/>
        <w:tblLook w:val="04A0" w:firstRow="1" w:lastRow="0" w:firstColumn="1" w:lastColumn="0" w:noHBand="0" w:noVBand="1"/>
      </w:tblPr>
      <w:tblGrid>
        <w:gridCol w:w="8103"/>
        <w:gridCol w:w="1237"/>
      </w:tblGrid>
      <w:tr w:rsidR="00645721" w:rsidRPr="00AA59B5" w14:paraId="46A95C72" w14:textId="77777777" w:rsidTr="00904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gridSpan w:val="2"/>
            <w:shd w:val="clear" w:color="auto" w:fill="365F91" w:themeFill="accent1" w:themeFillShade="BF"/>
          </w:tcPr>
          <w:p w14:paraId="067B639E" w14:textId="77777777" w:rsidR="00645721" w:rsidRPr="00AA59B5" w:rsidRDefault="00645721" w:rsidP="00FC70A7">
            <w:pPr>
              <w:autoSpaceDE w:val="0"/>
              <w:autoSpaceDN w:val="0"/>
              <w:adjustRightInd w:val="0"/>
              <w:spacing w:before="120" w:after="120" w:line="240" w:lineRule="auto"/>
              <w:jc w:val="center"/>
              <w:rPr>
                <w:rFonts w:ascii="Arial" w:eastAsia="Times New Roman" w:hAnsi="Arial" w:cs="Arial"/>
                <w:color w:val="FFFFFF" w:themeColor="background1"/>
                <w:szCs w:val="22"/>
              </w:rPr>
            </w:pPr>
            <w:r w:rsidRPr="00AA59B5">
              <w:rPr>
                <w:rFonts w:ascii="Arial" w:eastAsia="Times New Roman" w:hAnsi="Arial" w:cs="Arial"/>
                <w:color w:val="FFFFFF" w:themeColor="background1"/>
                <w:szCs w:val="22"/>
              </w:rPr>
              <w:t>RACE-CONSCIOUS &amp; RACE-NEUTRAL PROJECTIONS</w:t>
            </w:r>
          </w:p>
        </w:tc>
      </w:tr>
      <w:tr w:rsidR="00645721" w:rsidRPr="00AA59B5" w14:paraId="3AF20F58" w14:textId="77777777" w:rsidTr="00904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4" w:type="dxa"/>
          </w:tcPr>
          <w:p w14:paraId="6A4C5628" w14:textId="77777777" w:rsidR="00645721" w:rsidRPr="00AA59B5" w:rsidRDefault="00645721" w:rsidP="00FC70A7">
            <w:pPr>
              <w:autoSpaceDE w:val="0"/>
              <w:autoSpaceDN w:val="0"/>
              <w:adjustRightInd w:val="0"/>
              <w:spacing w:before="60" w:after="60" w:line="240" w:lineRule="auto"/>
              <w:jc w:val="center"/>
              <w:rPr>
                <w:rFonts w:ascii="Arial" w:eastAsia="Times New Roman" w:hAnsi="Arial" w:cs="Arial"/>
                <w:color w:val="auto"/>
                <w:szCs w:val="22"/>
              </w:rPr>
            </w:pPr>
            <w:r w:rsidRPr="00AA59B5">
              <w:rPr>
                <w:rFonts w:ascii="Arial" w:eastAsia="Times New Roman" w:hAnsi="Arial" w:cs="Arial"/>
                <w:color w:val="auto"/>
                <w:szCs w:val="22"/>
              </w:rPr>
              <w:t>Race-Conscious Component</w:t>
            </w:r>
          </w:p>
        </w:tc>
        <w:tc>
          <w:tcPr>
            <w:tcW w:w="1244" w:type="dxa"/>
            <w:vAlign w:val="center"/>
          </w:tcPr>
          <w:p w14:paraId="0D922715" w14:textId="77777777" w:rsidR="00645721" w:rsidRPr="00AA59B5" w:rsidRDefault="009048FA" w:rsidP="009048FA">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Cs w:val="22"/>
              </w:rPr>
            </w:pPr>
            <w:r w:rsidRPr="00AA59B5">
              <w:rPr>
                <w:rFonts w:ascii="Arial" w:eastAsia="Times New Roman" w:hAnsi="Arial" w:cs="Arial"/>
                <w:b/>
                <w:color w:val="auto"/>
                <w:szCs w:val="22"/>
              </w:rPr>
              <w:t>0.0</w:t>
            </w:r>
            <w:r w:rsidR="00645721" w:rsidRPr="00AA59B5">
              <w:rPr>
                <w:rFonts w:ascii="Arial" w:eastAsia="Times New Roman" w:hAnsi="Arial" w:cs="Arial"/>
                <w:b/>
                <w:color w:val="auto"/>
                <w:szCs w:val="22"/>
              </w:rPr>
              <w:t>%</w:t>
            </w:r>
          </w:p>
        </w:tc>
      </w:tr>
      <w:tr w:rsidR="00645721" w:rsidRPr="00AA59B5" w14:paraId="2514669F" w14:textId="77777777" w:rsidTr="009048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4" w:type="dxa"/>
          </w:tcPr>
          <w:p w14:paraId="73437E14" w14:textId="77777777" w:rsidR="00645721" w:rsidRPr="00AA59B5" w:rsidRDefault="00645721" w:rsidP="00FC70A7">
            <w:pPr>
              <w:autoSpaceDE w:val="0"/>
              <w:autoSpaceDN w:val="0"/>
              <w:adjustRightInd w:val="0"/>
              <w:spacing w:before="60" w:after="60" w:line="240" w:lineRule="auto"/>
              <w:jc w:val="center"/>
              <w:rPr>
                <w:rFonts w:ascii="Arial" w:eastAsia="Times New Roman" w:hAnsi="Arial" w:cs="Arial"/>
                <w:color w:val="auto"/>
                <w:szCs w:val="22"/>
              </w:rPr>
            </w:pPr>
            <w:r w:rsidRPr="00AA59B5">
              <w:rPr>
                <w:rFonts w:ascii="Arial" w:eastAsia="Times New Roman" w:hAnsi="Arial" w:cs="Arial"/>
                <w:color w:val="auto"/>
                <w:szCs w:val="22"/>
              </w:rPr>
              <w:t>Race-Neutral Component</w:t>
            </w:r>
          </w:p>
        </w:tc>
        <w:tc>
          <w:tcPr>
            <w:tcW w:w="1244" w:type="dxa"/>
            <w:vAlign w:val="center"/>
          </w:tcPr>
          <w:p w14:paraId="7F48C0AB" w14:textId="7F1A1186" w:rsidR="00645721" w:rsidRPr="00AA59B5" w:rsidRDefault="004F5FA4" w:rsidP="003A532B">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auto"/>
                <w:szCs w:val="22"/>
              </w:rPr>
            </w:pPr>
            <w:r>
              <w:rPr>
                <w:rFonts w:ascii="Arial" w:eastAsia="Times New Roman" w:hAnsi="Arial" w:cs="Arial"/>
                <w:b/>
                <w:color w:val="auto"/>
                <w:szCs w:val="22"/>
              </w:rPr>
              <w:t>4</w:t>
            </w:r>
            <w:r w:rsidR="00CA1BA3">
              <w:rPr>
                <w:rFonts w:ascii="Arial" w:eastAsia="Times New Roman" w:hAnsi="Arial" w:cs="Arial"/>
                <w:b/>
                <w:color w:val="auto"/>
                <w:szCs w:val="22"/>
              </w:rPr>
              <w:t>.00</w:t>
            </w:r>
            <w:r w:rsidR="00167683" w:rsidRPr="00AA59B5">
              <w:rPr>
                <w:rFonts w:ascii="Arial" w:eastAsia="Times New Roman" w:hAnsi="Arial" w:cs="Arial"/>
                <w:b/>
                <w:color w:val="auto"/>
                <w:szCs w:val="22"/>
              </w:rPr>
              <w:t>%</w:t>
            </w:r>
          </w:p>
        </w:tc>
      </w:tr>
    </w:tbl>
    <w:p w14:paraId="1AB1970A" w14:textId="77777777" w:rsidR="00D012BA" w:rsidRPr="00AA59B5" w:rsidRDefault="00D012BA" w:rsidP="006A7135">
      <w:pPr>
        <w:pStyle w:val="Heading1"/>
        <w:spacing w:after="240"/>
        <w:rPr>
          <w:rFonts w:ascii="Arial" w:hAnsi="Arial" w:cs="Arial"/>
          <w:sz w:val="22"/>
          <w:szCs w:val="22"/>
        </w:rPr>
      </w:pPr>
      <w:r w:rsidRPr="00AA59B5">
        <w:rPr>
          <w:rFonts w:ascii="Arial" w:hAnsi="Arial" w:cs="Arial"/>
          <w:sz w:val="22"/>
          <w:szCs w:val="22"/>
        </w:rPr>
        <w:t>V</w:t>
      </w:r>
      <w:r w:rsidR="006A7135" w:rsidRPr="00AA59B5">
        <w:rPr>
          <w:rFonts w:ascii="Arial" w:hAnsi="Arial" w:cs="Arial"/>
          <w:sz w:val="22"/>
          <w:szCs w:val="22"/>
        </w:rPr>
        <w:t>I</w:t>
      </w:r>
      <w:r w:rsidRPr="00AA59B5">
        <w:rPr>
          <w:rFonts w:ascii="Arial" w:hAnsi="Arial" w:cs="Arial"/>
          <w:sz w:val="22"/>
          <w:szCs w:val="22"/>
        </w:rPr>
        <w:t xml:space="preserve">.       RACE-NEUTRAL IMPLEMENTATION MEASURES </w:t>
      </w:r>
    </w:p>
    <w:p w14:paraId="29FC13BB" w14:textId="27113DAF" w:rsidR="00600A80" w:rsidRPr="00AA59B5" w:rsidRDefault="00AA59B5" w:rsidP="00600A80">
      <w:pPr>
        <w:autoSpaceDE w:val="0"/>
        <w:autoSpaceDN w:val="0"/>
        <w:adjustRightInd w:val="0"/>
        <w:spacing w:after="0" w:line="240" w:lineRule="auto"/>
        <w:jc w:val="both"/>
        <w:rPr>
          <w:rFonts w:ascii="Arial" w:eastAsia="Times New Roman" w:hAnsi="Arial" w:cs="Arial"/>
          <w:color w:val="auto"/>
          <w:szCs w:val="22"/>
        </w:rPr>
      </w:pPr>
      <w:r>
        <w:rPr>
          <w:rFonts w:ascii="Arial" w:eastAsia="Times New Roman" w:hAnsi="Arial" w:cs="Arial"/>
          <w:color w:val="auto"/>
          <w:szCs w:val="22"/>
        </w:rPr>
        <w:t>VVTA</w:t>
      </w:r>
      <w:r w:rsidR="00600A80" w:rsidRPr="00AA59B5">
        <w:rPr>
          <w:rFonts w:ascii="Arial" w:eastAsia="Times New Roman" w:hAnsi="Arial" w:cs="Arial"/>
          <w:color w:val="auto"/>
          <w:szCs w:val="22"/>
        </w:rPr>
        <w:t xml:space="preserve"> is currently implementing a number of race- and gender-neutral remedies to outreach and promote the participation of DBEs and small businesses in </w:t>
      </w:r>
      <w:r w:rsidR="00461327">
        <w:rPr>
          <w:rFonts w:ascii="Arial" w:eastAsia="Times New Roman" w:hAnsi="Arial" w:cs="Arial"/>
          <w:color w:val="auto"/>
          <w:szCs w:val="22"/>
        </w:rPr>
        <w:t>VVTA’s</w:t>
      </w:r>
      <w:r w:rsidR="00600A80" w:rsidRPr="00AA59B5">
        <w:rPr>
          <w:rFonts w:ascii="Arial" w:eastAsia="Times New Roman" w:hAnsi="Arial" w:cs="Arial"/>
          <w:color w:val="auto"/>
          <w:szCs w:val="22"/>
        </w:rPr>
        <w:t xml:space="preserve"> FTA-assisted contracting program. </w:t>
      </w:r>
      <w:r>
        <w:rPr>
          <w:rFonts w:ascii="Arial" w:eastAsia="Times New Roman" w:hAnsi="Arial" w:cs="Arial"/>
          <w:color w:val="auto"/>
          <w:szCs w:val="22"/>
        </w:rPr>
        <w:t>VVTA</w:t>
      </w:r>
      <w:r w:rsidR="00600A80" w:rsidRPr="00AA59B5">
        <w:rPr>
          <w:rFonts w:ascii="Arial" w:eastAsia="Times New Roman" w:hAnsi="Arial" w:cs="Arial"/>
          <w:color w:val="auto"/>
          <w:szCs w:val="22"/>
        </w:rPr>
        <w:t xml:space="preserve"> plans to continue or implement the following race-neutral measures for FFY 20</w:t>
      </w:r>
      <w:r w:rsidR="004F5FA4">
        <w:rPr>
          <w:rFonts w:ascii="Arial" w:eastAsia="Times New Roman" w:hAnsi="Arial" w:cs="Arial"/>
          <w:color w:val="auto"/>
          <w:szCs w:val="22"/>
        </w:rPr>
        <w:t>2</w:t>
      </w:r>
      <w:r w:rsidR="00D958AB">
        <w:rPr>
          <w:rFonts w:ascii="Arial" w:eastAsia="Times New Roman" w:hAnsi="Arial" w:cs="Arial"/>
          <w:color w:val="auto"/>
          <w:szCs w:val="22"/>
        </w:rPr>
        <w:t>2</w:t>
      </w:r>
      <w:r w:rsidR="00600A80" w:rsidRPr="00AA59B5">
        <w:rPr>
          <w:rFonts w:ascii="Arial" w:eastAsia="Times New Roman" w:hAnsi="Arial" w:cs="Arial"/>
          <w:color w:val="auto"/>
          <w:szCs w:val="22"/>
        </w:rPr>
        <w:t>-20</w:t>
      </w:r>
      <w:r w:rsidR="004F5FA4">
        <w:rPr>
          <w:rFonts w:ascii="Arial" w:eastAsia="Times New Roman" w:hAnsi="Arial" w:cs="Arial"/>
          <w:color w:val="auto"/>
          <w:szCs w:val="22"/>
        </w:rPr>
        <w:t>24</w:t>
      </w:r>
      <w:r w:rsidR="00600A80" w:rsidRPr="00AA59B5">
        <w:rPr>
          <w:rFonts w:ascii="Arial" w:eastAsia="Times New Roman" w:hAnsi="Arial" w:cs="Arial"/>
          <w:color w:val="auto"/>
          <w:szCs w:val="22"/>
        </w:rPr>
        <w:t xml:space="preserve"> and will continue to explore other options for consideration based on </w:t>
      </w:r>
      <w:r w:rsidR="00461327">
        <w:rPr>
          <w:rFonts w:ascii="Arial" w:eastAsia="Times New Roman" w:hAnsi="Arial" w:cs="Arial"/>
          <w:color w:val="auto"/>
          <w:szCs w:val="22"/>
        </w:rPr>
        <w:t>VVTA’s</w:t>
      </w:r>
      <w:r w:rsidR="00600A80" w:rsidRPr="00AA59B5">
        <w:rPr>
          <w:rFonts w:ascii="Arial" w:eastAsia="Times New Roman" w:hAnsi="Arial" w:cs="Arial"/>
          <w:color w:val="auto"/>
          <w:szCs w:val="22"/>
        </w:rPr>
        <w:t xml:space="preserve"> success in meeting its overall DBE goals based on these efforts:</w:t>
      </w:r>
    </w:p>
    <w:p w14:paraId="468DB025" w14:textId="77777777" w:rsidR="00600A80" w:rsidRPr="00AA59B5" w:rsidRDefault="00600A80" w:rsidP="00600A80">
      <w:pPr>
        <w:autoSpaceDE w:val="0"/>
        <w:autoSpaceDN w:val="0"/>
        <w:adjustRightInd w:val="0"/>
        <w:spacing w:after="0" w:line="240" w:lineRule="auto"/>
        <w:jc w:val="both"/>
        <w:rPr>
          <w:rFonts w:ascii="Arial" w:eastAsia="Times New Roman" w:hAnsi="Arial" w:cs="Arial"/>
          <w:color w:val="auto"/>
          <w:szCs w:val="22"/>
        </w:rPr>
      </w:pPr>
    </w:p>
    <w:p w14:paraId="44AB52A8" w14:textId="32352732" w:rsidR="00084F9D" w:rsidRPr="00AA59B5" w:rsidRDefault="00AA59B5" w:rsidP="00600A80">
      <w:pPr>
        <w:pStyle w:val="ListParagraph"/>
        <w:numPr>
          <w:ilvl w:val="0"/>
          <w:numId w:val="2"/>
        </w:numPr>
        <w:autoSpaceDE w:val="0"/>
        <w:autoSpaceDN w:val="0"/>
        <w:adjustRightInd w:val="0"/>
        <w:spacing w:before="60" w:after="120" w:line="240" w:lineRule="auto"/>
        <w:ind w:left="360"/>
        <w:contextualSpacing w:val="0"/>
        <w:jc w:val="both"/>
        <w:rPr>
          <w:rFonts w:ascii="Arial" w:eastAsia="Times New Roman" w:hAnsi="Arial" w:cs="Arial"/>
          <w:color w:val="auto"/>
          <w:szCs w:val="22"/>
        </w:rPr>
      </w:pPr>
      <w:r>
        <w:rPr>
          <w:rFonts w:ascii="Arial" w:eastAsia="Times New Roman" w:hAnsi="Arial" w:cs="Arial"/>
          <w:color w:val="auto"/>
          <w:szCs w:val="22"/>
        </w:rPr>
        <w:t>VVTA</w:t>
      </w:r>
      <w:r w:rsidR="00600A80" w:rsidRPr="00AA59B5">
        <w:rPr>
          <w:rFonts w:ascii="Arial" w:eastAsia="Times New Roman" w:hAnsi="Arial" w:cs="Arial"/>
          <w:color w:val="auto"/>
          <w:szCs w:val="22"/>
        </w:rPr>
        <w:t xml:space="preserve"> </w:t>
      </w:r>
      <w:r w:rsidR="00084F9D" w:rsidRPr="00AA59B5">
        <w:rPr>
          <w:rFonts w:ascii="Arial" w:eastAsia="Times New Roman" w:hAnsi="Arial" w:cs="Arial"/>
          <w:color w:val="auto"/>
          <w:szCs w:val="22"/>
        </w:rPr>
        <w:t xml:space="preserve">will </w:t>
      </w:r>
      <w:r w:rsidR="005611D2">
        <w:rPr>
          <w:rFonts w:ascii="Arial" w:eastAsia="Times New Roman" w:hAnsi="Arial" w:cs="Arial"/>
          <w:color w:val="auto"/>
          <w:szCs w:val="22"/>
        </w:rPr>
        <w:t xml:space="preserve">continue to invite </w:t>
      </w:r>
      <w:proofErr w:type="gramStart"/>
      <w:r w:rsidR="005611D2">
        <w:rPr>
          <w:rFonts w:ascii="Arial" w:eastAsia="Times New Roman" w:hAnsi="Arial" w:cs="Arial"/>
          <w:color w:val="auto"/>
          <w:szCs w:val="22"/>
        </w:rPr>
        <w:t>DBE’s</w:t>
      </w:r>
      <w:proofErr w:type="gramEnd"/>
      <w:r w:rsidR="005611D2">
        <w:rPr>
          <w:rFonts w:ascii="Arial" w:eastAsia="Times New Roman" w:hAnsi="Arial" w:cs="Arial"/>
          <w:color w:val="auto"/>
          <w:szCs w:val="22"/>
        </w:rPr>
        <w:t xml:space="preserve"> to participate in all of its solicitations through directly emailing the vendors from the California UCP</w:t>
      </w:r>
      <w:r w:rsidR="00084F9D" w:rsidRPr="00AA59B5">
        <w:rPr>
          <w:rFonts w:ascii="Arial" w:eastAsia="Times New Roman" w:hAnsi="Arial" w:cs="Arial"/>
          <w:color w:val="auto"/>
          <w:szCs w:val="22"/>
        </w:rPr>
        <w:t xml:space="preserve">.  </w:t>
      </w:r>
      <w:r>
        <w:rPr>
          <w:rFonts w:ascii="Arial" w:eastAsia="Times New Roman" w:hAnsi="Arial" w:cs="Arial"/>
          <w:color w:val="auto"/>
          <w:szCs w:val="22"/>
        </w:rPr>
        <w:t>VVTA</w:t>
      </w:r>
      <w:r w:rsidR="00084F9D" w:rsidRPr="00AA59B5">
        <w:rPr>
          <w:rFonts w:ascii="Arial" w:eastAsia="Times New Roman" w:hAnsi="Arial" w:cs="Arial"/>
          <w:color w:val="auto"/>
          <w:szCs w:val="22"/>
        </w:rPr>
        <w:t xml:space="preserve"> will attend and participate in vendor fair</w:t>
      </w:r>
      <w:r w:rsidR="00E048BE" w:rsidRPr="00AA59B5">
        <w:rPr>
          <w:rFonts w:ascii="Arial" w:eastAsia="Times New Roman" w:hAnsi="Arial" w:cs="Arial"/>
          <w:color w:val="auto"/>
          <w:szCs w:val="22"/>
        </w:rPr>
        <w:t>s</w:t>
      </w:r>
      <w:r w:rsidR="00084F9D" w:rsidRPr="00AA59B5">
        <w:rPr>
          <w:rFonts w:ascii="Arial" w:eastAsia="Times New Roman" w:hAnsi="Arial" w:cs="Arial"/>
          <w:color w:val="auto"/>
          <w:szCs w:val="22"/>
        </w:rPr>
        <w:t xml:space="preserve"> hosted by unrepresented groups and other public agencies. </w:t>
      </w:r>
    </w:p>
    <w:p w14:paraId="7B8EE15A" w14:textId="77777777" w:rsidR="00600A80" w:rsidRPr="00AA59B5" w:rsidRDefault="00AA59B5" w:rsidP="00600A80">
      <w:pPr>
        <w:pStyle w:val="ListParagraph"/>
        <w:numPr>
          <w:ilvl w:val="0"/>
          <w:numId w:val="2"/>
        </w:numPr>
        <w:autoSpaceDE w:val="0"/>
        <w:autoSpaceDN w:val="0"/>
        <w:adjustRightInd w:val="0"/>
        <w:spacing w:before="60" w:after="120" w:line="240" w:lineRule="auto"/>
        <w:ind w:left="360"/>
        <w:contextualSpacing w:val="0"/>
        <w:jc w:val="both"/>
        <w:rPr>
          <w:rFonts w:ascii="Arial" w:eastAsia="Times New Roman" w:hAnsi="Arial" w:cs="Arial"/>
          <w:color w:val="auto"/>
          <w:szCs w:val="22"/>
        </w:rPr>
      </w:pPr>
      <w:r>
        <w:rPr>
          <w:rFonts w:ascii="Arial" w:eastAsia="Times New Roman" w:hAnsi="Arial" w:cs="Arial"/>
          <w:color w:val="auto"/>
          <w:szCs w:val="22"/>
        </w:rPr>
        <w:t>VVTA</w:t>
      </w:r>
      <w:r w:rsidR="00084F9D" w:rsidRPr="00AA59B5">
        <w:rPr>
          <w:rFonts w:ascii="Arial" w:eastAsia="Times New Roman" w:hAnsi="Arial" w:cs="Arial"/>
          <w:color w:val="auto"/>
          <w:szCs w:val="22"/>
        </w:rPr>
        <w:t xml:space="preserve"> </w:t>
      </w:r>
      <w:r w:rsidR="00600A80" w:rsidRPr="00AA59B5">
        <w:rPr>
          <w:rFonts w:ascii="Arial" w:eastAsia="Times New Roman" w:hAnsi="Arial" w:cs="Arial"/>
          <w:color w:val="auto"/>
          <w:szCs w:val="22"/>
        </w:rPr>
        <w:t>will</w:t>
      </w:r>
      <w:r w:rsidR="00084F9D" w:rsidRPr="00AA59B5">
        <w:rPr>
          <w:rFonts w:ascii="Arial" w:eastAsia="Times New Roman" w:hAnsi="Arial" w:cs="Arial"/>
          <w:color w:val="auto"/>
          <w:szCs w:val="22"/>
        </w:rPr>
        <w:t xml:space="preserve"> unbundle solicitations, provide pre-bid/pre-proposal conferences to afford networking opportunities for primes and subcontractors.  </w:t>
      </w:r>
      <w:r>
        <w:rPr>
          <w:rFonts w:ascii="Arial" w:eastAsia="Times New Roman" w:hAnsi="Arial" w:cs="Arial"/>
          <w:color w:val="auto"/>
          <w:szCs w:val="22"/>
        </w:rPr>
        <w:t>VVTA</w:t>
      </w:r>
      <w:r w:rsidR="00084F9D" w:rsidRPr="00AA59B5">
        <w:rPr>
          <w:rFonts w:ascii="Arial" w:eastAsia="Times New Roman" w:hAnsi="Arial" w:cs="Arial"/>
          <w:color w:val="auto"/>
          <w:szCs w:val="22"/>
        </w:rPr>
        <w:t xml:space="preserve"> will promote and encourage teaming opportunities between prospective prime contractors and the DBE and Small Business contracting community. A</w:t>
      </w:r>
      <w:r w:rsidR="00600A80" w:rsidRPr="00AA59B5">
        <w:rPr>
          <w:rFonts w:ascii="Arial" w:eastAsia="Times New Roman" w:hAnsi="Arial" w:cs="Arial"/>
          <w:color w:val="auto"/>
          <w:szCs w:val="22"/>
        </w:rPr>
        <w:t>rrange solicitations, times for the presentation of bids, quantities, specifications, and delivery schedules in ways that facilitate DBE and other small business participation. .</w:t>
      </w:r>
    </w:p>
    <w:p w14:paraId="3368303C" w14:textId="2E256425" w:rsidR="00600A80" w:rsidRPr="00AA59B5" w:rsidRDefault="0098290E" w:rsidP="00600A80">
      <w:pPr>
        <w:pStyle w:val="ListParagraph"/>
        <w:numPr>
          <w:ilvl w:val="0"/>
          <w:numId w:val="2"/>
        </w:numPr>
        <w:autoSpaceDE w:val="0"/>
        <w:autoSpaceDN w:val="0"/>
        <w:adjustRightInd w:val="0"/>
        <w:spacing w:before="60" w:after="120" w:line="240" w:lineRule="auto"/>
        <w:ind w:left="360"/>
        <w:contextualSpacing w:val="0"/>
        <w:jc w:val="both"/>
        <w:rPr>
          <w:rFonts w:ascii="Arial" w:eastAsia="Times New Roman" w:hAnsi="Arial" w:cs="Arial"/>
          <w:color w:val="auto"/>
          <w:szCs w:val="22"/>
        </w:rPr>
      </w:pPr>
      <w:r w:rsidRPr="00AA59B5">
        <w:rPr>
          <w:rFonts w:ascii="Arial" w:eastAsia="Times New Roman" w:hAnsi="Arial" w:cs="Arial"/>
          <w:color w:val="auto"/>
          <w:szCs w:val="22"/>
        </w:rPr>
        <w:lastRenderedPageBreak/>
        <w:t xml:space="preserve">Structure solicitations to remove barriers such as the </w:t>
      </w:r>
      <w:r w:rsidR="00600A80" w:rsidRPr="00AA59B5">
        <w:rPr>
          <w:rFonts w:ascii="Arial" w:eastAsia="Times New Roman" w:hAnsi="Arial" w:cs="Arial"/>
          <w:color w:val="auto"/>
          <w:szCs w:val="22"/>
        </w:rPr>
        <w:t xml:space="preserve"> inability to obtain bonding or financing (e.g., by such means as simplifying the bonding process, reducing bonding requirements, eliminating the impact of surety costs from bids, and providing services to help DBEs, and other small businesses, obtain bonding and financing). </w:t>
      </w:r>
    </w:p>
    <w:p w14:paraId="3F0F2F0F" w14:textId="77777777" w:rsidR="00600A80" w:rsidRPr="00AA59B5" w:rsidRDefault="00AA59B5" w:rsidP="00600A80">
      <w:pPr>
        <w:pStyle w:val="ListParagraph"/>
        <w:numPr>
          <w:ilvl w:val="0"/>
          <w:numId w:val="2"/>
        </w:numPr>
        <w:autoSpaceDE w:val="0"/>
        <w:autoSpaceDN w:val="0"/>
        <w:adjustRightInd w:val="0"/>
        <w:spacing w:before="60" w:after="120" w:line="240" w:lineRule="auto"/>
        <w:ind w:left="360"/>
        <w:contextualSpacing w:val="0"/>
        <w:jc w:val="both"/>
        <w:rPr>
          <w:rFonts w:ascii="Arial" w:eastAsia="Times New Roman" w:hAnsi="Arial" w:cs="Arial"/>
          <w:color w:val="auto"/>
          <w:szCs w:val="22"/>
        </w:rPr>
      </w:pPr>
      <w:r>
        <w:rPr>
          <w:rFonts w:ascii="Arial" w:eastAsia="Times New Roman" w:hAnsi="Arial" w:cs="Arial"/>
          <w:color w:val="auto"/>
          <w:szCs w:val="22"/>
        </w:rPr>
        <w:t>VVTA</w:t>
      </w:r>
      <w:r w:rsidR="00600A80" w:rsidRPr="00AA59B5">
        <w:rPr>
          <w:rFonts w:ascii="Arial" w:eastAsia="Times New Roman" w:hAnsi="Arial" w:cs="Arial"/>
          <w:color w:val="auto"/>
          <w:szCs w:val="22"/>
        </w:rPr>
        <w:t xml:space="preserve"> will solicit DBEs and other small businesses participation by carrying out information and communication programs on contracting procedures and specific contract opportunities (e.g., ensuring the inclusion of DBEs, and other small businesses, on recipient mailing lists of bidders; ensuring the dissemination to bidders on prime contracts of lists of potential subcontractors; provision of information in languages other than English, where appropriate).</w:t>
      </w:r>
    </w:p>
    <w:p w14:paraId="448D344E" w14:textId="2C9F06B3" w:rsidR="00600A80" w:rsidRPr="00AA59B5" w:rsidRDefault="00600A80" w:rsidP="00600A80">
      <w:pPr>
        <w:pStyle w:val="ListParagraph"/>
        <w:numPr>
          <w:ilvl w:val="0"/>
          <w:numId w:val="2"/>
        </w:numPr>
        <w:autoSpaceDE w:val="0"/>
        <w:autoSpaceDN w:val="0"/>
        <w:adjustRightInd w:val="0"/>
        <w:spacing w:before="60" w:after="120" w:line="240" w:lineRule="auto"/>
        <w:ind w:left="360"/>
        <w:contextualSpacing w:val="0"/>
        <w:jc w:val="both"/>
        <w:rPr>
          <w:rFonts w:ascii="Arial" w:eastAsia="Times New Roman" w:hAnsi="Arial" w:cs="Arial"/>
          <w:color w:val="auto"/>
          <w:szCs w:val="22"/>
        </w:rPr>
      </w:pPr>
      <w:r w:rsidRPr="00AA59B5">
        <w:rPr>
          <w:rFonts w:ascii="Arial" w:eastAsia="Times New Roman" w:hAnsi="Arial" w:cs="Arial"/>
          <w:color w:val="auto"/>
          <w:szCs w:val="22"/>
        </w:rPr>
        <w:t xml:space="preserve">As a supportive service to help develop and improve immediate and long-term business management, record keeping, and financial and accounting capability for DBEs and other small businesses, </w:t>
      </w:r>
      <w:r w:rsidR="00AA59B5">
        <w:rPr>
          <w:rFonts w:ascii="Arial" w:eastAsia="Times New Roman" w:hAnsi="Arial" w:cs="Arial"/>
          <w:color w:val="auto"/>
          <w:szCs w:val="22"/>
        </w:rPr>
        <w:t>VVTA</w:t>
      </w:r>
      <w:r w:rsidRPr="00AA59B5">
        <w:rPr>
          <w:rFonts w:ascii="Arial" w:eastAsia="Times New Roman" w:hAnsi="Arial" w:cs="Arial"/>
          <w:color w:val="auto"/>
          <w:szCs w:val="22"/>
        </w:rPr>
        <w:t xml:space="preserve"> will actively promote the Small Business conferences, programs, and support services offered by other agencies that have established DBE and Small Business Programs. </w:t>
      </w:r>
      <w:r w:rsidR="00AA59B5">
        <w:rPr>
          <w:rFonts w:ascii="Arial" w:eastAsia="Times New Roman" w:hAnsi="Arial" w:cs="Arial"/>
          <w:color w:val="auto"/>
          <w:szCs w:val="22"/>
        </w:rPr>
        <w:t>VVTA</w:t>
      </w:r>
      <w:r w:rsidRPr="00AA59B5">
        <w:rPr>
          <w:rFonts w:ascii="Arial" w:eastAsia="Times New Roman" w:hAnsi="Arial" w:cs="Arial"/>
          <w:color w:val="auto"/>
          <w:szCs w:val="22"/>
        </w:rPr>
        <w:t xml:space="preserve"> </w:t>
      </w:r>
      <w:r w:rsidR="005611D2">
        <w:rPr>
          <w:rFonts w:ascii="Arial" w:eastAsia="Times New Roman" w:hAnsi="Arial" w:cs="Arial"/>
          <w:color w:val="auto"/>
          <w:szCs w:val="22"/>
        </w:rPr>
        <w:t>is creating a “How to do Business with VVTA” video which will be posted to vvta.org/Procurement web page.  This video is due to be completed by August 31, 2021.</w:t>
      </w:r>
    </w:p>
    <w:p w14:paraId="48083F85" w14:textId="69A0FC78" w:rsidR="005611D2" w:rsidRPr="005611D2" w:rsidRDefault="00AA59B5" w:rsidP="005611D2">
      <w:pPr>
        <w:pStyle w:val="ListParagraph"/>
        <w:numPr>
          <w:ilvl w:val="0"/>
          <w:numId w:val="2"/>
        </w:numPr>
        <w:autoSpaceDE w:val="0"/>
        <w:autoSpaceDN w:val="0"/>
        <w:adjustRightInd w:val="0"/>
        <w:spacing w:before="60" w:after="120" w:line="240" w:lineRule="auto"/>
        <w:ind w:left="360"/>
        <w:contextualSpacing w:val="0"/>
        <w:jc w:val="both"/>
        <w:rPr>
          <w:rFonts w:ascii="Arial" w:eastAsia="Times New Roman" w:hAnsi="Arial" w:cs="Arial"/>
          <w:color w:val="auto"/>
          <w:szCs w:val="22"/>
        </w:rPr>
      </w:pPr>
      <w:r>
        <w:rPr>
          <w:rFonts w:ascii="Arial" w:eastAsia="Times New Roman" w:hAnsi="Arial" w:cs="Arial"/>
          <w:color w:val="auto"/>
          <w:szCs w:val="22"/>
        </w:rPr>
        <w:t>VVTA</w:t>
      </w:r>
      <w:r w:rsidR="00600A80" w:rsidRPr="00AA59B5">
        <w:rPr>
          <w:rFonts w:ascii="Arial" w:eastAsia="Times New Roman" w:hAnsi="Arial" w:cs="Arial"/>
          <w:color w:val="auto"/>
          <w:szCs w:val="22"/>
        </w:rPr>
        <w:t xml:space="preserve"> will advise its contracting community of the online directory of certified DBEs, found at the California Unified Certification Program website: </w:t>
      </w:r>
      <w:hyperlink r:id="rId8" w:history="1">
        <w:r w:rsidR="00600A80" w:rsidRPr="00AA59B5">
          <w:rPr>
            <w:rStyle w:val="Hyperlink"/>
            <w:rFonts w:ascii="Arial" w:eastAsia="Times New Roman" w:hAnsi="Arial" w:cs="Arial"/>
            <w:szCs w:val="22"/>
          </w:rPr>
          <w:t>www.CaliforniaUCP.com</w:t>
        </w:r>
      </w:hyperlink>
      <w:r w:rsidR="00600A80" w:rsidRPr="00AA59B5">
        <w:rPr>
          <w:rFonts w:ascii="Arial" w:eastAsia="Times New Roman" w:hAnsi="Arial" w:cs="Arial"/>
          <w:color w:val="auto"/>
          <w:szCs w:val="22"/>
        </w:rPr>
        <w:t xml:space="preserve">. </w:t>
      </w:r>
      <w:r>
        <w:rPr>
          <w:rFonts w:ascii="Arial" w:eastAsia="Times New Roman" w:hAnsi="Arial" w:cs="Arial"/>
          <w:color w:val="auto"/>
          <w:szCs w:val="22"/>
        </w:rPr>
        <w:t>VVTA</w:t>
      </w:r>
      <w:r w:rsidR="00600A80" w:rsidRPr="00AA59B5">
        <w:rPr>
          <w:rFonts w:ascii="Arial" w:eastAsia="Times New Roman" w:hAnsi="Arial" w:cs="Arial"/>
          <w:color w:val="auto"/>
          <w:szCs w:val="22"/>
        </w:rPr>
        <w:t xml:space="preserve"> will also advise the contracting community of the available small businesses certified by the California Department of General Services (DGS) and found at the following</w:t>
      </w:r>
      <w:r w:rsidR="005611D2">
        <w:rPr>
          <w:rFonts w:ascii="Arial" w:eastAsia="Times New Roman" w:hAnsi="Arial" w:cs="Arial"/>
          <w:color w:val="auto"/>
          <w:szCs w:val="22"/>
        </w:rPr>
        <w:t>:</w:t>
      </w:r>
      <w:r w:rsidR="00600A80" w:rsidRPr="00AA59B5">
        <w:rPr>
          <w:rFonts w:ascii="Arial" w:eastAsia="Times New Roman" w:hAnsi="Arial" w:cs="Arial"/>
          <w:color w:val="auto"/>
          <w:szCs w:val="22"/>
        </w:rPr>
        <w:t xml:space="preserve"> </w:t>
      </w:r>
      <w:r w:rsidR="005611D2" w:rsidRPr="005611D2">
        <w:t>https://caleprocure.ca.gov/pages/PublicSearch/supplier-search.aspx</w:t>
      </w:r>
    </w:p>
    <w:p w14:paraId="77033746" w14:textId="30887086" w:rsidR="00600A80" w:rsidRPr="005611D2" w:rsidRDefault="00AA59B5" w:rsidP="005611D2">
      <w:pPr>
        <w:pStyle w:val="ListParagraph"/>
        <w:numPr>
          <w:ilvl w:val="0"/>
          <w:numId w:val="2"/>
        </w:numPr>
        <w:autoSpaceDE w:val="0"/>
        <w:autoSpaceDN w:val="0"/>
        <w:adjustRightInd w:val="0"/>
        <w:spacing w:before="60" w:after="120" w:line="240" w:lineRule="auto"/>
        <w:contextualSpacing w:val="0"/>
        <w:jc w:val="both"/>
        <w:rPr>
          <w:rFonts w:ascii="Arial" w:eastAsia="Times New Roman" w:hAnsi="Arial" w:cs="Arial"/>
          <w:color w:val="auto"/>
          <w:szCs w:val="22"/>
        </w:rPr>
      </w:pPr>
      <w:r>
        <w:rPr>
          <w:rFonts w:ascii="Arial" w:eastAsia="Times New Roman" w:hAnsi="Arial" w:cs="Arial"/>
          <w:color w:val="auto"/>
          <w:szCs w:val="22"/>
        </w:rPr>
        <w:t>VVTA</w:t>
      </w:r>
      <w:r w:rsidR="00600A80" w:rsidRPr="00AA59B5">
        <w:rPr>
          <w:rFonts w:ascii="Arial" w:eastAsia="Times New Roman" w:hAnsi="Arial" w:cs="Arial"/>
          <w:color w:val="auto"/>
          <w:szCs w:val="22"/>
        </w:rPr>
        <w:t xml:space="preserve"> will advise the DBE and small business community to participate </w:t>
      </w:r>
      <w:r w:rsidR="00236C5C" w:rsidRPr="00AA59B5">
        <w:rPr>
          <w:rFonts w:ascii="Arial" w:eastAsia="Times New Roman" w:hAnsi="Arial" w:cs="Arial"/>
          <w:color w:val="auto"/>
          <w:szCs w:val="22"/>
        </w:rPr>
        <w:t xml:space="preserve">in Caltrans’ related bidding/proposal opportunities at </w:t>
      </w:r>
      <w:hyperlink r:id="rId9" w:history="1">
        <w:r w:rsidR="00236C5C" w:rsidRPr="00AA59B5">
          <w:rPr>
            <w:rStyle w:val="Hyperlink"/>
            <w:rFonts w:ascii="Arial" w:eastAsia="Times New Roman" w:hAnsi="Arial" w:cs="Arial"/>
            <w:szCs w:val="22"/>
          </w:rPr>
          <w:t>http://www.dot.ca.gov/hq/esc/oe/</w:t>
        </w:r>
      </w:hyperlink>
      <w:r w:rsidR="00236C5C" w:rsidRPr="00AA59B5">
        <w:rPr>
          <w:rFonts w:ascii="Arial" w:eastAsia="Times New Roman" w:hAnsi="Arial" w:cs="Arial"/>
          <w:color w:val="auto"/>
          <w:szCs w:val="22"/>
        </w:rPr>
        <w:t xml:space="preserve">.  </w:t>
      </w:r>
      <w:r>
        <w:rPr>
          <w:rFonts w:ascii="Arial" w:eastAsia="Times New Roman" w:hAnsi="Arial" w:cs="Arial"/>
          <w:color w:val="auto"/>
          <w:szCs w:val="22"/>
        </w:rPr>
        <w:t>VVTA</w:t>
      </w:r>
      <w:r w:rsidR="00236C5C" w:rsidRPr="00AA59B5">
        <w:rPr>
          <w:rFonts w:ascii="Arial" w:eastAsia="Times New Roman" w:hAnsi="Arial" w:cs="Arial"/>
          <w:color w:val="auto"/>
          <w:szCs w:val="22"/>
        </w:rPr>
        <w:t xml:space="preserve"> will encourage DBEs and small businesses to seek the assistance and training </w:t>
      </w:r>
      <w:r w:rsidR="000E767B" w:rsidRPr="00AA59B5">
        <w:rPr>
          <w:rFonts w:ascii="Arial" w:eastAsia="Times New Roman" w:hAnsi="Arial" w:cs="Arial"/>
          <w:color w:val="auto"/>
          <w:szCs w:val="22"/>
        </w:rPr>
        <w:t>through the</w:t>
      </w:r>
      <w:r w:rsidR="00236C5C" w:rsidRPr="00AA59B5">
        <w:rPr>
          <w:rFonts w:ascii="Arial" w:eastAsia="Times New Roman" w:hAnsi="Arial" w:cs="Arial"/>
          <w:color w:val="auto"/>
          <w:szCs w:val="22"/>
        </w:rPr>
        <w:t xml:space="preserve"> U.S. Small Business </w:t>
      </w:r>
      <w:r w:rsidR="000E767B" w:rsidRPr="00AA59B5">
        <w:rPr>
          <w:rFonts w:ascii="Arial" w:eastAsia="Times New Roman" w:hAnsi="Arial" w:cs="Arial"/>
          <w:color w:val="auto"/>
          <w:szCs w:val="22"/>
        </w:rPr>
        <w:t>Administration at</w:t>
      </w:r>
      <w:r w:rsidR="00236C5C" w:rsidRPr="00AA59B5">
        <w:rPr>
          <w:rFonts w:ascii="Arial" w:eastAsia="Times New Roman" w:hAnsi="Arial" w:cs="Arial"/>
          <w:color w:val="auto"/>
          <w:szCs w:val="22"/>
        </w:rPr>
        <w:t xml:space="preserve"> </w:t>
      </w:r>
      <w:hyperlink r:id="rId10" w:history="1">
        <w:r w:rsidR="005611D2" w:rsidRPr="007957A2">
          <w:rPr>
            <w:rStyle w:val="Hyperlink"/>
            <w:rFonts w:ascii="Arial" w:eastAsia="Times New Roman" w:hAnsi="Arial" w:cs="Arial"/>
            <w:szCs w:val="22"/>
          </w:rPr>
          <w:t>www.sba.gov</w:t>
        </w:r>
      </w:hyperlink>
      <w:r w:rsidR="005611D2">
        <w:rPr>
          <w:rFonts w:ascii="Arial" w:eastAsia="Times New Roman" w:hAnsi="Arial" w:cs="Arial"/>
          <w:color w:val="auto"/>
          <w:szCs w:val="22"/>
        </w:rPr>
        <w:t>.</w:t>
      </w:r>
    </w:p>
    <w:p w14:paraId="47E141AB" w14:textId="77777777" w:rsidR="00600A80" w:rsidRPr="00AA59B5" w:rsidRDefault="00600A80" w:rsidP="00600A80">
      <w:pPr>
        <w:autoSpaceDE w:val="0"/>
        <w:autoSpaceDN w:val="0"/>
        <w:adjustRightInd w:val="0"/>
        <w:spacing w:after="120" w:line="240" w:lineRule="auto"/>
        <w:jc w:val="both"/>
        <w:rPr>
          <w:rFonts w:ascii="Arial" w:eastAsia="Times New Roman" w:hAnsi="Arial" w:cs="Arial"/>
          <w:color w:val="auto"/>
          <w:szCs w:val="22"/>
        </w:rPr>
      </w:pPr>
      <w:r w:rsidRPr="00AA59B5">
        <w:rPr>
          <w:rFonts w:ascii="Arial" w:eastAsia="Times New Roman" w:hAnsi="Arial" w:cs="Arial"/>
          <w:b/>
          <w:color w:val="auto"/>
          <w:szCs w:val="22"/>
        </w:rPr>
        <w:t>Fostering Small Business Participation</w:t>
      </w:r>
      <w:r w:rsidRPr="00AA59B5">
        <w:rPr>
          <w:rStyle w:val="FootnoteReference"/>
          <w:rFonts w:ascii="Arial" w:eastAsia="Times New Roman" w:hAnsi="Arial" w:cs="Arial"/>
          <w:color w:val="auto"/>
          <w:szCs w:val="22"/>
        </w:rPr>
        <w:footnoteReference w:id="2"/>
      </w:r>
    </w:p>
    <w:p w14:paraId="27A12460" w14:textId="77777777" w:rsidR="00600A80" w:rsidRPr="00AA59B5" w:rsidRDefault="00AA59B5" w:rsidP="00600A80">
      <w:pPr>
        <w:autoSpaceDE w:val="0"/>
        <w:autoSpaceDN w:val="0"/>
        <w:adjustRightInd w:val="0"/>
        <w:spacing w:after="0" w:line="240" w:lineRule="auto"/>
        <w:jc w:val="both"/>
        <w:rPr>
          <w:rFonts w:ascii="Arial" w:eastAsia="Times New Roman" w:hAnsi="Arial" w:cs="Arial"/>
          <w:color w:val="auto"/>
          <w:szCs w:val="22"/>
        </w:rPr>
      </w:pPr>
      <w:r>
        <w:rPr>
          <w:rFonts w:ascii="Arial" w:eastAsia="Times New Roman" w:hAnsi="Arial" w:cs="Arial"/>
          <w:color w:val="auto"/>
          <w:szCs w:val="22"/>
        </w:rPr>
        <w:t>VVTA</w:t>
      </w:r>
      <w:r w:rsidR="00600A80" w:rsidRPr="00AA59B5">
        <w:rPr>
          <w:rFonts w:ascii="Arial" w:eastAsia="Times New Roman" w:hAnsi="Arial" w:cs="Arial"/>
          <w:color w:val="auto"/>
          <w:szCs w:val="22"/>
        </w:rPr>
        <w:t xml:space="preserve"> has implemented several strategies to foster small business participation in its contracting process. These include the following:</w:t>
      </w:r>
    </w:p>
    <w:p w14:paraId="6BFD35E3" w14:textId="77777777" w:rsidR="00600A80" w:rsidRPr="00AA59B5" w:rsidRDefault="00600A80" w:rsidP="00600A80">
      <w:pPr>
        <w:autoSpaceDE w:val="0"/>
        <w:autoSpaceDN w:val="0"/>
        <w:adjustRightInd w:val="0"/>
        <w:spacing w:after="0" w:line="240" w:lineRule="auto"/>
        <w:jc w:val="both"/>
        <w:rPr>
          <w:rFonts w:ascii="Arial" w:eastAsia="Times New Roman" w:hAnsi="Arial" w:cs="Arial"/>
          <w:color w:val="auto"/>
          <w:szCs w:val="22"/>
        </w:rPr>
      </w:pPr>
    </w:p>
    <w:p w14:paraId="3960F2B3" w14:textId="77777777" w:rsidR="00517B2D" w:rsidRPr="00AA59B5" w:rsidRDefault="00517B2D" w:rsidP="00517B2D">
      <w:pPr>
        <w:pStyle w:val="ListParagraph"/>
        <w:numPr>
          <w:ilvl w:val="0"/>
          <w:numId w:val="2"/>
        </w:numPr>
        <w:autoSpaceDE w:val="0"/>
        <w:autoSpaceDN w:val="0"/>
        <w:adjustRightInd w:val="0"/>
        <w:spacing w:before="60" w:after="120" w:line="240" w:lineRule="auto"/>
        <w:ind w:left="360"/>
        <w:contextualSpacing w:val="0"/>
        <w:jc w:val="both"/>
        <w:rPr>
          <w:rFonts w:ascii="Arial" w:eastAsia="Times New Roman" w:hAnsi="Arial" w:cs="Arial"/>
          <w:color w:val="auto"/>
          <w:szCs w:val="22"/>
        </w:rPr>
      </w:pPr>
      <w:r w:rsidRPr="00AA59B5">
        <w:rPr>
          <w:rFonts w:ascii="Arial" w:eastAsia="Times New Roman" w:hAnsi="Arial" w:cs="Arial"/>
          <w:color w:val="auto"/>
          <w:szCs w:val="22"/>
        </w:rPr>
        <w:t>In multi-year design-build contracts or other large contracts (e.g., for “megaprojects”) requiring bidders on the prime contract to specify elements of the contract or specific subcontracts that are of a size that small businesses, including DBEs, can reasonably perform.</w:t>
      </w:r>
    </w:p>
    <w:p w14:paraId="574B9EA8" w14:textId="77777777" w:rsidR="00517B2D" w:rsidRPr="00AA59B5" w:rsidRDefault="00517B2D" w:rsidP="00517B2D">
      <w:pPr>
        <w:pStyle w:val="ListParagraph"/>
        <w:numPr>
          <w:ilvl w:val="0"/>
          <w:numId w:val="2"/>
        </w:numPr>
        <w:autoSpaceDE w:val="0"/>
        <w:autoSpaceDN w:val="0"/>
        <w:adjustRightInd w:val="0"/>
        <w:spacing w:before="60" w:after="120" w:line="240" w:lineRule="auto"/>
        <w:ind w:left="360"/>
        <w:contextualSpacing w:val="0"/>
        <w:jc w:val="both"/>
        <w:rPr>
          <w:rFonts w:ascii="Arial" w:eastAsia="Times New Roman" w:hAnsi="Arial" w:cs="Arial"/>
          <w:color w:val="auto"/>
          <w:szCs w:val="22"/>
        </w:rPr>
      </w:pPr>
      <w:r w:rsidRPr="00AA59B5">
        <w:rPr>
          <w:rFonts w:ascii="Arial" w:eastAsia="Times New Roman" w:hAnsi="Arial" w:cs="Arial"/>
          <w:color w:val="auto"/>
          <w:szCs w:val="22"/>
        </w:rPr>
        <w:t>On larger prime contracts requiring the prime contractor to consider subcontracting opportunities of a size that small businesses, including DBEs, can reasonably perform, rather than self-performing all the work involved.</w:t>
      </w:r>
    </w:p>
    <w:p w14:paraId="0B1286E0" w14:textId="77777777" w:rsidR="00517B2D" w:rsidRPr="00AA59B5" w:rsidRDefault="00517B2D" w:rsidP="00517B2D">
      <w:pPr>
        <w:pStyle w:val="ListParagraph"/>
        <w:numPr>
          <w:ilvl w:val="0"/>
          <w:numId w:val="2"/>
        </w:numPr>
        <w:autoSpaceDE w:val="0"/>
        <w:autoSpaceDN w:val="0"/>
        <w:adjustRightInd w:val="0"/>
        <w:spacing w:before="60" w:after="120" w:line="240" w:lineRule="auto"/>
        <w:ind w:left="360"/>
        <w:contextualSpacing w:val="0"/>
        <w:jc w:val="both"/>
        <w:rPr>
          <w:rFonts w:ascii="Arial" w:eastAsia="Times New Roman" w:hAnsi="Arial" w:cs="Arial"/>
          <w:color w:val="auto"/>
          <w:szCs w:val="22"/>
        </w:rPr>
      </w:pPr>
      <w:r w:rsidRPr="00AA59B5">
        <w:rPr>
          <w:rFonts w:ascii="Arial" w:eastAsia="Times New Roman" w:hAnsi="Arial" w:cs="Arial"/>
          <w:color w:val="auto"/>
          <w:szCs w:val="22"/>
        </w:rPr>
        <w:t>Identifying alternative acquisition strategies and structuring procurements to facilitate the ability of consortia or joint ventures consisting of small businesses, including DBEs, to compete for and perform prime contracts.</w:t>
      </w:r>
    </w:p>
    <w:p w14:paraId="60CCEBCE" w14:textId="77777777" w:rsidR="00517B2D" w:rsidRPr="00AA59B5" w:rsidRDefault="00517B2D" w:rsidP="00517B2D">
      <w:pPr>
        <w:pStyle w:val="ListParagraph"/>
        <w:numPr>
          <w:ilvl w:val="0"/>
          <w:numId w:val="2"/>
        </w:numPr>
        <w:autoSpaceDE w:val="0"/>
        <w:autoSpaceDN w:val="0"/>
        <w:adjustRightInd w:val="0"/>
        <w:spacing w:before="60" w:after="120" w:line="240" w:lineRule="auto"/>
        <w:ind w:left="360"/>
        <w:contextualSpacing w:val="0"/>
        <w:jc w:val="both"/>
        <w:rPr>
          <w:rFonts w:ascii="Arial" w:eastAsia="Times New Roman" w:hAnsi="Arial" w:cs="Arial"/>
          <w:color w:val="auto"/>
          <w:szCs w:val="22"/>
        </w:rPr>
      </w:pPr>
      <w:r w:rsidRPr="00AA59B5">
        <w:rPr>
          <w:rFonts w:ascii="Arial" w:eastAsia="Times New Roman" w:hAnsi="Arial" w:cs="Arial"/>
          <w:color w:val="auto"/>
          <w:szCs w:val="22"/>
        </w:rPr>
        <w:t>Ensuring that a reasonable number of prime contracts are of a size that small businesses, including DBEs, can reasonably perform.</w:t>
      </w:r>
    </w:p>
    <w:p w14:paraId="1AD54A51" w14:textId="77777777" w:rsidR="009D6476" w:rsidRPr="00AA59B5" w:rsidRDefault="00542CFA" w:rsidP="006A7135">
      <w:pPr>
        <w:pStyle w:val="Heading1"/>
        <w:spacing w:after="240"/>
        <w:rPr>
          <w:rFonts w:ascii="Arial" w:hAnsi="Arial" w:cs="Arial"/>
          <w:sz w:val="22"/>
          <w:szCs w:val="22"/>
        </w:rPr>
      </w:pPr>
      <w:r>
        <w:rPr>
          <w:rFonts w:ascii="Arial" w:hAnsi="Arial" w:cs="Arial"/>
          <w:sz w:val="22"/>
          <w:szCs w:val="22"/>
        </w:rPr>
        <w:lastRenderedPageBreak/>
        <w:t>V</w:t>
      </w:r>
      <w:r w:rsidR="00423EBA" w:rsidRPr="00AA59B5">
        <w:rPr>
          <w:rFonts w:ascii="Arial" w:hAnsi="Arial" w:cs="Arial"/>
          <w:sz w:val="22"/>
          <w:szCs w:val="22"/>
        </w:rPr>
        <w:t>I</w:t>
      </w:r>
      <w:r w:rsidR="006A7135" w:rsidRPr="00AA59B5">
        <w:rPr>
          <w:rFonts w:ascii="Arial" w:hAnsi="Arial" w:cs="Arial"/>
          <w:sz w:val="22"/>
          <w:szCs w:val="22"/>
        </w:rPr>
        <w:t>I</w:t>
      </w:r>
      <w:r w:rsidR="009D6476" w:rsidRPr="00AA59B5">
        <w:rPr>
          <w:rFonts w:ascii="Arial" w:hAnsi="Arial" w:cs="Arial"/>
          <w:sz w:val="22"/>
          <w:szCs w:val="22"/>
        </w:rPr>
        <w:t>. PUBLIC PARTICIPATION AND FACILITATION</w:t>
      </w:r>
    </w:p>
    <w:p w14:paraId="0390D6CD" w14:textId="77777777" w:rsidR="00600489" w:rsidRPr="00AA59B5" w:rsidRDefault="00600489" w:rsidP="00600489">
      <w:pPr>
        <w:pStyle w:val="NoSpacing"/>
        <w:spacing w:line="260" w:lineRule="atLeast"/>
        <w:jc w:val="both"/>
        <w:rPr>
          <w:rFonts w:cs="Arial"/>
          <w:color w:val="auto"/>
          <w:sz w:val="22"/>
          <w:szCs w:val="22"/>
        </w:rPr>
      </w:pPr>
      <w:r w:rsidRPr="00AA59B5">
        <w:rPr>
          <w:rFonts w:cs="Arial"/>
          <w:color w:val="auto"/>
          <w:sz w:val="22"/>
          <w:szCs w:val="22"/>
        </w:rPr>
        <w:t xml:space="preserve">In accordance with Public Participation Regulatory Requirements of Title 49 CFR Part 26, minority, women, local business associations, and community organizations within the </w:t>
      </w:r>
      <w:r w:rsidR="00AA59B5">
        <w:rPr>
          <w:rFonts w:cs="Arial"/>
          <w:color w:val="auto"/>
          <w:sz w:val="22"/>
          <w:szCs w:val="22"/>
        </w:rPr>
        <w:t>VVTA</w:t>
      </w:r>
      <w:r w:rsidRPr="00AA59B5">
        <w:rPr>
          <w:rFonts w:cs="Arial"/>
          <w:color w:val="auto"/>
          <w:sz w:val="22"/>
          <w:szCs w:val="22"/>
        </w:rPr>
        <w:t xml:space="preserve"> market area will be consulted and provided an opportunity to review the triennial goal analysis and provide input. </w:t>
      </w:r>
      <w:r w:rsidR="00AA59B5">
        <w:rPr>
          <w:rFonts w:cs="Arial"/>
          <w:color w:val="auto"/>
          <w:sz w:val="22"/>
          <w:szCs w:val="22"/>
        </w:rPr>
        <w:t>VVTA</w:t>
      </w:r>
      <w:r w:rsidRPr="00AA59B5">
        <w:rPr>
          <w:rFonts w:cs="Arial"/>
          <w:color w:val="auto"/>
          <w:sz w:val="22"/>
          <w:szCs w:val="22"/>
        </w:rPr>
        <w:t xml:space="preserve"> will prepare Outreach Consultation Letters advising the aforementioned business community of the proposed DBE goal analysis and its availability for review and comment. </w:t>
      </w:r>
    </w:p>
    <w:p w14:paraId="668D33FD" w14:textId="77777777" w:rsidR="00600489" w:rsidRPr="00AA59B5" w:rsidRDefault="00600489" w:rsidP="00600489">
      <w:pPr>
        <w:pStyle w:val="NoSpacing"/>
        <w:spacing w:line="260" w:lineRule="atLeast"/>
        <w:jc w:val="both"/>
        <w:rPr>
          <w:rFonts w:cs="Arial"/>
          <w:color w:val="auto"/>
          <w:sz w:val="22"/>
          <w:szCs w:val="22"/>
        </w:rPr>
      </w:pPr>
    </w:p>
    <w:p w14:paraId="52104F9E" w14:textId="2D50F017" w:rsidR="00E264FE" w:rsidRPr="00AA59B5" w:rsidRDefault="00AA59B5" w:rsidP="00E264FE">
      <w:pPr>
        <w:pStyle w:val="NoSpacing"/>
        <w:spacing w:line="260" w:lineRule="atLeast"/>
        <w:jc w:val="both"/>
        <w:rPr>
          <w:rFonts w:cs="Arial"/>
          <w:color w:val="auto"/>
          <w:sz w:val="22"/>
          <w:szCs w:val="22"/>
        </w:rPr>
      </w:pPr>
      <w:r>
        <w:rPr>
          <w:rFonts w:cs="Arial"/>
          <w:color w:val="auto"/>
          <w:sz w:val="22"/>
          <w:szCs w:val="22"/>
        </w:rPr>
        <w:t>VVTA</w:t>
      </w:r>
      <w:r w:rsidR="00600489" w:rsidRPr="00AA59B5">
        <w:rPr>
          <w:rFonts w:cs="Arial"/>
          <w:color w:val="auto"/>
          <w:sz w:val="22"/>
          <w:szCs w:val="22"/>
        </w:rPr>
        <w:t xml:space="preserve"> </w:t>
      </w:r>
      <w:r w:rsidR="005611D2">
        <w:rPr>
          <w:rFonts w:cs="Arial"/>
          <w:color w:val="auto"/>
          <w:sz w:val="22"/>
          <w:szCs w:val="22"/>
        </w:rPr>
        <w:t xml:space="preserve">has </w:t>
      </w:r>
      <w:r w:rsidR="00600489" w:rsidRPr="00AA59B5">
        <w:rPr>
          <w:rFonts w:cs="Arial"/>
          <w:color w:val="auto"/>
          <w:sz w:val="22"/>
          <w:szCs w:val="22"/>
        </w:rPr>
        <w:t>issue</w:t>
      </w:r>
      <w:r w:rsidR="005611D2">
        <w:rPr>
          <w:rFonts w:cs="Arial"/>
          <w:color w:val="auto"/>
          <w:sz w:val="22"/>
          <w:szCs w:val="22"/>
        </w:rPr>
        <w:t>d</w:t>
      </w:r>
      <w:r w:rsidR="00600489" w:rsidRPr="00AA59B5">
        <w:rPr>
          <w:rFonts w:cs="Arial"/>
          <w:color w:val="auto"/>
          <w:sz w:val="22"/>
          <w:szCs w:val="22"/>
        </w:rPr>
        <w:t xml:space="preserve"> a Public Notice in general circulation media and minority focused media publishing the </w:t>
      </w:r>
      <w:r>
        <w:rPr>
          <w:rFonts w:cs="Arial"/>
          <w:color w:val="auto"/>
          <w:sz w:val="22"/>
          <w:szCs w:val="22"/>
        </w:rPr>
        <w:t>VVTA</w:t>
      </w:r>
      <w:r w:rsidR="00600489" w:rsidRPr="00AA59B5">
        <w:rPr>
          <w:rFonts w:cs="Arial"/>
          <w:color w:val="auto"/>
          <w:sz w:val="22"/>
          <w:szCs w:val="22"/>
        </w:rPr>
        <w:t xml:space="preserve"> Draft Proposed FTA Overall DBE Goal</w:t>
      </w:r>
      <w:r w:rsidR="00302A23">
        <w:rPr>
          <w:rFonts w:cs="Arial"/>
          <w:color w:val="auto"/>
          <w:sz w:val="22"/>
          <w:szCs w:val="22"/>
        </w:rPr>
        <w:t>-Setting Methodology for FFY 20</w:t>
      </w:r>
      <w:r w:rsidR="005611D2">
        <w:rPr>
          <w:rFonts w:cs="Arial"/>
          <w:color w:val="auto"/>
          <w:sz w:val="22"/>
          <w:szCs w:val="22"/>
        </w:rPr>
        <w:t>2</w:t>
      </w:r>
      <w:r w:rsidR="00D958AB">
        <w:rPr>
          <w:rFonts w:cs="Arial"/>
          <w:color w:val="auto"/>
          <w:sz w:val="22"/>
          <w:szCs w:val="22"/>
        </w:rPr>
        <w:t>2</w:t>
      </w:r>
      <w:r w:rsidR="00E264FE" w:rsidRPr="00AA59B5">
        <w:rPr>
          <w:rFonts w:cs="Arial"/>
          <w:color w:val="auto"/>
          <w:sz w:val="22"/>
          <w:szCs w:val="22"/>
        </w:rPr>
        <w:t>-</w:t>
      </w:r>
      <w:r w:rsidR="00302A23">
        <w:rPr>
          <w:rFonts w:cs="Arial"/>
          <w:color w:val="auto"/>
          <w:sz w:val="22"/>
          <w:szCs w:val="22"/>
        </w:rPr>
        <w:t>FFY 202</w:t>
      </w:r>
      <w:r w:rsidR="005611D2">
        <w:rPr>
          <w:rFonts w:cs="Arial"/>
          <w:color w:val="auto"/>
          <w:sz w:val="22"/>
          <w:szCs w:val="22"/>
        </w:rPr>
        <w:t>4</w:t>
      </w:r>
      <w:r w:rsidR="00600489" w:rsidRPr="00AA59B5">
        <w:rPr>
          <w:rFonts w:cs="Arial"/>
          <w:color w:val="auto"/>
          <w:sz w:val="22"/>
          <w:szCs w:val="22"/>
        </w:rPr>
        <w:t>. The notice inform</w:t>
      </w:r>
      <w:r w:rsidR="005611D2">
        <w:rPr>
          <w:rFonts w:cs="Arial"/>
          <w:color w:val="auto"/>
          <w:sz w:val="22"/>
          <w:szCs w:val="22"/>
        </w:rPr>
        <w:t>s</w:t>
      </w:r>
      <w:r w:rsidR="00600489" w:rsidRPr="00AA59B5">
        <w:rPr>
          <w:rFonts w:cs="Arial"/>
          <w:color w:val="auto"/>
          <w:sz w:val="22"/>
          <w:szCs w:val="22"/>
        </w:rPr>
        <w:t xml:space="preserve"> the public that the proposed goal and rationale are available for inspection at </w:t>
      </w:r>
      <w:r w:rsidR="00461327">
        <w:rPr>
          <w:rFonts w:cs="Arial"/>
          <w:color w:val="auto"/>
          <w:sz w:val="22"/>
          <w:szCs w:val="22"/>
        </w:rPr>
        <w:t>VVTA’s</w:t>
      </w:r>
      <w:r w:rsidR="00600489" w:rsidRPr="00AA59B5">
        <w:rPr>
          <w:rFonts w:cs="Arial"/>
          <w:color w:val="auto"/>
          <w:sz w:val="22"/>
          <w:szCs w:val="22"/>
        </w:rPr>
        <w:t xml:space="preserve"> principal office during normal business hours for </w:t>
      </w:r>
      <w:r w:rsidR="000E767B">
        <w:rPr>
          <w:rFonts w:cs="Arial"/>
          <w:color w:val="auto"/>
          <w:sz w:val="22"/>
          <w:szCs w:val="22"/>
        </w:rPr>
        <w:t>30</w:t>
      </w:r>
      <w:r w:rsidR="00600489" w:rsidRPr="00AA59B5">
        <w:rPr>
          <w:rFonts w:cs="Arial"/>
          <w:color w:val="auto"/>
          <w:sz w:val="22"/>
          <w:szCs w:val="22"/>
        </w:rPr>
        <w:t xml:space="preserve"> days following the date of the Public Notice, and that </w:t>
      </w:r>
      <w:r>
        <w:rPr>
          <w:rFonts w:cs="Arial"/>
          <w:color w:val="auto"/>
          <w:sz w:val="22"/>
          <w:szCs w:val="22"/>
        </w:rPr>
        <w:t>VVTA</w:t>
      </w:r>
      <w:r w:rsidR="00600489" w:rsidRPr="00AA59B5">
        <w:rPr>
          <w:rFonts w:cs="Arial"/>
          <w:color w:val="auto"/>
          <w:sz w:val="22"/>
          <w:szCs w:val="22"/>
        </w:rPr>
        <w:t xml:space="preserve"> would accept comments on the goal analysis for </w:t>
      </w:r>
      <w:r w:rsidR="000E767B">
        <w:rPr>
          <w:rFonts w:cs="Arial"/>
          <w:color w:val="auto"/>
          <w:sz w:val="22"/>
          <w:szCs w:val="22"/>
        </w:rPr>
        <w:t>30</w:t>
      </w:r>
      <w:r w:rsidR="00600489" w:rsidRPr="00AA59B5">
        <w:rPr>
          <w:rFonts w:cs="Arial"/>
          <w:color w:val="auto"/>
          <w:sz w:val="22"/>
          <w:szCs w:val="22"/>
        </w:rPr>
        <w:t xml:space="preserve"> days from the date of the Public Notice. </w:t>
      </w:r>
      <w:r>
        <w:rPr>
          <w:rFonts w:cs="Arial"/>
          <w:color w:val="auto"/>
          <w:sz w:val="22"/>
          <w:szCs w:val="22"/>
        </w:rPr>
        <w:t>VVTA</w:t>
      </w:r>
      <w:r w:rsidR="00600489" w:rsidRPr="00AA59B5">
        <w:rPr>
          <w:rFonts w:cs="Arial"/>
          <w:color w:val="auto"/>
          <w:sz w:val="22"/>
          <w:szCs w:val="22"/>
        </w:rPr>
        <w:t xml:space="preserve"> will </w:t>
      </w:r>
      <w:proofErr w:type="gramStart"/>
      <w:r w:rsidR="00600489" w:rsidRPr="00AA59B5">
        <w:rPr>
          <w:rFonts w:cs="Arial"/>
          <w:color w:val="auto"/>
          <w:sz w:val="22"/>
          <w:szCs w:val="22"/>
        </w:rPr>
        <w:t>give full consideration to</w:t>
      </w:r>
      <w:proofErr w:type="gramEnd"/>
      <w:r w:rsidR="00600489" w:rsidRPr="00AA59B5">
        <w:rPr>
          <w:rFonts w:cs="Arial"/>
          <w:color w:val="auto"/>
          <w:sz w:val="22"/>
          <w:szCs w:val="22"/>
        </w:rPr>
        <w:t xml:space="preserve"> all comments and input received as a part of this process and will assess its impact on the goal-setting methodology.</w:t>
      </w:r>
    </w:p>
    <w:p w14:paraId="56CB5104" w14:textId="77777777" w:rsidR="00D012BA" w:rsidRPr="00AA59B5" w:rsidRDefault="00A55768" w:rsidP="00E264FE">
      <w:pPr>
        <w:pStyle w:val="Heading1"/>
        <w:jc w:val="center"/>
        <w:rPr>
          <w:rFonts w:ascii="Arial" w:eastAsia="ヒラギノ角ゴ Pro W3" w:hAnsi="Arial" w:cs="Arial"/>
          <w:bCs w:val="0"/>
          <w:color w:val="000000"/>
          <w:sz w:val="22"/>
          <w:szCs w:val="22"/>
        </w:rPr>
      </w:pPr>
      <w:r w:rsidRPr="00AA59B5">
        <w:rPr>
          <w:rFonts w:ascii="Arial" w:hAnsi="Arial" w:cs="Arial"/>
          <w:sz w:val="22"/>
          <w:szCs w:val="22"/>
        </w:rPr>
        <w:br w:type="page"/>
      </w:r>
      <w:bookmarkStart w:id="12" w:name="_Toc331591924"/>
      <w:r w:rsidR="00D012BA" w:rsidRPr="00AA59B5">
        <w:rPr>
          <w:rFonts w:ascii="Arial" w:eastAsia="ヒラギノ角ゴ Pro W3" w:hAnsi="Arial" w:cs="Arial"/>
          <w:bCs w:val="0"/>
          <w:color w:val="000000"/>
          <w:sz w:val="22"/>
          <w:szCs w:val="22"/>
        </w:rPr>
        <w:lastRenderedPageBreak/>
        <w:t>ATTACHMENT I</w:t>
      </w:r>
      <w:bookmarkEnd w:id="12"/>
    </w:p>
    <w:p w14:paraId="50EFE084" w14:textId="77777777" w:rsidR="00D012BA" w:rsidRPr="00AA59B5" w:rsidRDefault="00D012BA">
      <w:pPr>
        <w:spacing w:after="0" w:line="240" w:lineRule="auto"/>
        <w:rPr>
          <w:rFonts w:ascii="Arial" w:hAnsi="Arial" w:cs="Arial"/>
          <w:szCs w:val="22"/>
        </w:rPr>
      </w:pPr>
    </w:p>
    <w:p w14:paraId="1D850E88" w14:textId="77777777" w:rsidR="00D012BA" w:rsidRPr="00AA59B5" w:rsidRDefault="00AA59B5" w:rsidP="00E264FE">
      <w:pPr>
        <w:pStyle w:val="NoSpacing"/>
        <w:spacing w:line="260" w:lineRule="atLeast"/>
        <w:jc w:val="both"/>
        <w:rPr>
          <w:rFonts w:cs="Arial"/>
          <w:b/>
          <w:color w:val="auto"/>
          <w:sz w:val="22"/>
          <w:szCs w:val="22"/>
        </w:rPr>
      </w:pPr>
      <w:r>
        <w:rPr>
          <w:rFonts w:cs="Arial"/>
          <w:b/>
          <w:color w:val="auto"/>
          <w:sz w:val="22"/>
          <w:szCs w:val="22"/>
        </w:rPr>
        <w:t>VVTA</w:t>
      </w:r>
      <w:r w:rsidR="00D012BA" w:rsidRPr="00AA59B5">
        <w:rPr>
          <w:rFonts w:cs="Arial"/>
          <w:b/>
          <w:color w:val="auto"/>
          <w:sz w:val="22"/>
          <w:szCs w:val="22"/>
        </w:rPr>
        <w:t xml:space="preserve"> </w:t>
      </w:r>
    </w:p>
    <w:p w14:paraId="148B446F" w14:textId="77777777" w:rsidR="00DC5242" w:rsidRPr="00AA59B5" w:rsidRDefault="00D012BA" w:rsidP="00E264FE">
      <w:pPr>
        <w:pStyle w:val="NoSpacing"/>
        <w:spacing w:line="260" w:lineRule="atLeast"/>
        <w:jc w:val="both"/>
        <w:rPr>
          <w:rFonts w:cs="Arial"/>
          <w:b/>
          <w:color w:val="auto"/>
          <w:sz w:val="22"/>
          <w:szCs w:val="22"/>
        </w:rPr>
      </w:pPr>
      <w:r w:rsidRPr="00AA59B5">
        <w:rPr>
          <w:rFonts w:cs="Arial"/>
          <w:b/>
          <w:color w:val="auto"/>
          <w:sz w:val="22"/>
          <w:szCs w:val="22"/>
        </w:rPr>
        <w:t xml:space="preserve">FEDERAL </w:t>
      </w:r>
      <w:r w:rsidR="00DC5242" w:rsidRPr="00AA59B5">
        <w:rPr>
          <w:rFonts w:cs="Arial"/>
          <w:b/>
          <w:color w:val="auto"/>
          <w:sz w:val="22"/>
          <w:szCs w:val="22"/>
        </w:rPr>
        <w:t xml:space="preserve">TRANSIT </w:t>
      </w:r>
      <w:r w:rsidRPr="00AA59B5">
        <w:rPr>
          <w:rFonts w:cs="Arial"/>
          <w:b/>
          <w:color w:val="auto"/>
          <w:sz w:val="22"/>
          <w:szCs w:val="22"/>
        </w:rPr>
        <w:t xml:space="preserve">ADMINISTRATION </w:t>
      </w:r>
    </w:p>
    <w:p w14:paraId="3DCD25AC" w14:textId="3FCFFAA6" w:rsidR="00D012BA" w:rsidRPr="00AA59B5" w:rsidRDefault="00D012BA" w:rsidP="00E264FE">
      <w:pPr>
        <w:pStyle w:val="NoSpacing"/>
        <w:spacing w:line="260" w:lineRule="atLeast"/>
        <w:jc w:val="both"/>
        <w:rPr>
          <w:rFonts w:cs="Arial"/>
          <w:b/>
          <w:color w:val="auto"/>
          <w:sz w:val="22"/>
          <w:szCs w:val="22"/>
        </w:rPr>
      </w:pPr>
      <w:r w:rsidRPr="00AA59B5">
        <w:rPr>
          <w:rFonts w:cs="Arial"/>
          <w:b/>
          <w:color w:val="auto"/>
          <w:sz w:val="22"/>
          <w:szCs w:val="22"/>
        </w:rPr>
        <w:t xml:space="preserve">FEDERAL FISCAL YEAR </w:t>
      </w:r>
      <w:r w:rsidR="00D958AB">
        <w:rPr>
          <w:rFonts w:cs="Arial"/>
          <w:b/>
          <w:color w:val="auto"/>
          <w:sz w:val="22"/>
          <w:szCs w:val="22"/>
        </w:rPr>
        <w:t>2022-2024</w:t>
      </w:r>
    </w:p>
    <w:p w14:paraId="022B1F0A" w14:textId="77777777" w:rsidR="00D012BA" w:rsidRPr="00AA59B5" w:rsidRDefault="00D012BA">
      <w:pPr>
        <w:spacing w:after="0" w:line="240" w:lineRule="auto"/>
        <w:rPr>
          <w:rFonts w:ascii="Arial" w:hAnsi="Arial" w:cs="Arial"/>
          <w:szCs w:val="22"/>
        </w:rPr>
      </w:pPr>
    </w:p>
    <w:p w14:paraId="4B527728" w14:textId="77777777" w:rsidR="00D012BA" w:rsidRPr="00AA59B5" w:rsidRDefault="00D012BA" w:rsidP="00E264FE">
      <w:pPr>
        <w:pStyle w:val="NoSpacing"/>
        <w:spacing w:line="260" w:lineRule="atLeast"/>
        <w:jc w:val="both"/>
        <w:rPr>
          <w:rFonts w:cs="Arial"/>
          <w:b/>
          <w:color w:val="auto"/>
          <w:sz w:val="22"/>
          <w:szCs w:val="22"/>
        </w:rPr>
      </w:pPr>
      <w:r w:rsidRPr="00AA59B5">
        <w:rPr>
          <w:rFonts w:cs="Arial"/>
          <w:b/>
          <w:color w:val="auto"/>
          <w:sz w:val="22"/>
          <w:szCs w:val="22"/>
          <w:highlight w:val="lightGray"/>
        </w:rPr>
        <w:t>ESTABLISHMENT OF THE NUMERATOR:</w:t>
      </w:r>
      <w:r w:rsidRPr="00AA59B5">
        <w:rPr>
          <w:rFonts w:cs="Arial"/>
          <w:b/>
          <w:color w:val="auto"/>
          <w:sz w:val="22"/>
          <w:szCs w:val="22"/>
        </w:rPr>
        <w:t xml:space="preserve"> </w:t>
      </w:r>
    </w:p>
    <w:p w14:paraId="35B22009" w14:textId="77777777" w:rsidR="00D012BA" w:rsidRPr="00AA59B5" w:rsidRDefault="00D012BA">
      <w:pPr>
        <w:spacing w:after="0" w:line="240" w:lineRule="auto"/>
        <w:rPr>
          <w:rFonts w:ascii="Arial" w:hAnsi="Arial" w:cs="Arial"/>
          <w:szCs w:val="22"/>
        </w:rPr>
      </w:pPr>
    </w:p>
    <w:p w14:paraId="0D83D655" w14:textId="77777777" w:rsidR="00D012BA" w:rsidRPr="00AA59B5" w:rsidRDefault="00D012BA" w:rsidP="00E264FE">
      <w:pPr>
        <w:spacing w:after="0" w:line="240" w:lineRule="auto"/>
        <w:rPr>
          <w:rFonts w:ascii="Arial" w:hAnsi="Arial" w:cs="Arial"/>
          <w:b/>
          <w:szCs w:val="22"/>
        </w:rPr>
      </w:pPr>
      <w:r w:rsidRPr="00AA59B5">
        <w:rPr>
          <w:rFonts w:ascii="Arial" w:hAnsi="Arial" w:cs="Arial"/>
          <w:b/>
          <w:szCs w:val="22"/>
        </w:rPr>
        <w:t xml:space="preserve"># OF ESTABLISHED DBE FIRMS BY NAICS WORK CATEGORIES WITHIN </w:t>
      </w:r>
      <w:r w:rsidR="00E264FE" w:rsidRPr="00AA59B5">
        <w:rPr>
          <w:rFonts w:ascii="Arial" w:hAnsi="Arial" w:cs="Arial"/>
          <w:b/>
          <w:szCs w:val="22"/>
        </w:rPr>
        <w:t xml:space="preserve">THE </w:t>
      </w:r>
      <w:r w:rsidRPr="00AA59B5">
        <w:rPr>
          <w:rFonts w:ascii="Arial" w:hAnsi="Arial" w:cs="Arial"/>
          <w:b/>
          <w:szCs w:val="22"/>
        </w:rPr>
        <w:t xml:space="preserve">MARKET AREA </w:t>
      </w:r>
      <w:r w:rsidR="00E264FE" w:rsidRPr="00AA59B5">
        <w:rPr>
          <w:rFonts w:ascii="Arial" w:hAnsi="Arial" w:cs="Arial"/>
          <w:b/>
          <w:szCs w:val="22"/>
        </w:rPr>
        <w:br/>
      </w:r>
      <w:r w:rsidRPr="00AA59B5">
        <w:rPr>
          <w:rFonts w:ascii="Arial" w:hAnsi="Arial" w:cs="Arial"/>
          <w:b/>
          <w:szCs w:val="22"/>
        </w:rPr>
        <w:t xml:space="preserve">(SAN </w:t>
      </w:r>
      <w:r w:rsidR="00E264FE" w:rsidRPr="00AA59B5">
        <w:rPr>
          <w:rFonts w:ascii="Arial" w:hAnsi="Arial" w:cs="Arial"/>
          <w:b/>
          <w:szCs w:val="22"/>
        </w:rPr>
        <w:t>BERNARDINO</w:t>
      </w:r>
      <w:r w:rsidRPr="00AA59B5">
        <w:rPr>
          <w:rFonts w:ascii="Arial" w:hAnsi="Arial" w:cs="Arial"/>
          <w:b/>
          <w:szCs w:val="22"/>
        </w:rPr>
        <w:t xml:space="preserve"> COUNT</w:t>
      </w:r>
      <w:r w:rsidR="00800620" w:rsidRPr="00AA59B5">
        <w:rPr>
          <w:rFonts w:ascii="Arial" w:hAnsi="Arial" w:cs="Arial"/>
          <w:b/>
          <w:szCs w:val="22"/>
        </w:rPr>
        <w:t>Y</w:t>
      </w:r>
      <w:r w:rsidRPr="00AA59B5">
        <w:rPr>
          <w:rFonts w:ascii="Arial" w:hAnsi="Arial" w:cs="Arial"/>
          <w:b/>
          <w:szCs w:val="22"/>
        </w:rPr>
        <w:t xml:space="preserve">) </w:t>
      </w:r>
      <w:r w:rsidRPr="00AA59B5">
        <w:rPr>
          <w:rFonts w:ascii="Arial" w:hAnsi="Arial" w:cs="Arial"/>
          <w:b/>
          <w:szCs w:val="22"/>
          <w:vertAlign w:val="superscript"/>
        </w:rPr>
        <w:t>1</w:t>
      </w:r>
    </w:p>
    <w:p w14:paraId="15C24549" w14:textId="77777777" w:rsidR="00496C9B" w:rsidRPr="00AA59B5" w:rsidRDefault="00496C9B">
      <w:pPr>
        <w:spacing w:after="0" w:line="240" w:lineRule="auto"/>
        <w:rPr>
          <w:rFonts w:ascii="Arial" w:hAnsi="Arial" w:cs="Arial"/>
          <w:szCs w:val="22"/>
          <w:vertAlign w:val="superscript"/>
        </w:rPr>
      </w:pPr>
    </w:p>
    <w:tbl>
      <w:tblPr>
        <w:tblStyle w:val="LightShading-Accent1"/>
        <w:tblW w:w="9288" w:type="dxa"/>
        <w:tblLook w:val="04A0" w:firstRow="1" w:lastRow="0" w:firstColumn="1" w:lastColumn="0" w:noHBand="0" w:noVBand="1"/>
      </w:tblPr>
      <w:tblGrid>
        <w:gridCol w:w="1854"/>
        <w:gridCol w:w="5724"/>
        <w:gridCol w:w="1710"/>
      </w:tblGrid>
      <w:tr w:rsidR="00C210E9" w:rsidRPr="00AA59B5" w14:paraId="43476C5D" w14:textId="77777777" w:rsidTr="00C210E9">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854" w:type="dxa"/>
            <w:shd w:val="clear" w:color="auto" w:fill="365F91" w:themeFill="accent1" w:themeFillShade="BF"/>
          </w:tcPr>
          <w:p w14:paraId="6D70C712" w14:textId="77777777" w:rsidR="000E0F5F" w:rsidRDefault="000E0F5F" w:rsidP="00C210E9">
            <w:pPr>
              <w:spacing w:after="0" w:line="240" w:lineRule="auto"/>
              <w:ind w:left="-69"/>
              <w:jc w:val="center"/>
              <w:rPr>
                <w:rFonts w:ascii="Arial" w:eastAsia="Times New Roman" w:hAnsi="Arial" w:cs="Arial"/>
                <w:b w:val="0"/>
                <w:color w:val="FFFFFF" w:themeColor="background1"/>
                <w:szCs w:val="22"/>
              </w:rPr>
            </w:pPr>
          </w:p>
          <w:p w14:paraId="6D24FAC0" w14:textId="77777777" w:rsidR="000E0F5F" w:rsidRDefault="000E0F5F" w:rsidP="00C210E9">
            <w:pPr>
              <w:spacing w:after="0" w:line="240" w:lineRule="auto"/>
              <w:ind w:left="-69"/>
              <w:jc w:val="center"/>
              <w:rPr>
                <w:rFonts w:ascii="Arial" w:eastAsia="Times New Roman" w:hAnsi="Arial" w:cs="Arial"/>
                <w:b w:val="0"/>
                <w:color w:val="FFFFFF" w:themeColor="background1"/>
                <w:szCs w:val="22"/>
              </w:rPr>
            </w:pPr>
          </w:p>
          <w:p w14:paraId="58E8C328" w14:textId="1A91F9B3" w:rsidR="00C210E9" w:rsidRPr="00AA59B5" w:rsidRDefault="00C210E9" w:rsidP="00C210E9">
            <w:pPr>
              <w:spacing w:after="0" w:line="240" w:lineRule="auto"/>
              <w:ind w:left="-69"/>
              <w:jc w:val="center"/>
              <w:rPr>
                <w:rFonts w:ascii="Arial" w:eastAsia="Times New Roman" w:hAnsi="Arial" w:cs="Arial"/>
                <w:bCs w:val="0"/>
                <w:color w:val="FFFFFF" w:themeColor="background1"/>
                <w:szCs w:val="22"/>
              </w:rPr>
            </w:pPr>
            <w:r w:rsidRPr="00AA59B5">
              <w:rPr>
                <w:rFonts w:ascii="Arial" w:eastAsia="Times New Roman" w:hAnsi="Arial" w:cs="Arial"/>
                <w:bCs w:val="0"/>
                <w:color w:val="FFFFFF" w:themeColor="background1"/>
                <w:szCs w:val="22"/>
              </w:rPr>
              <w:t>NAICS Code</w:t>
            </w:r>
          </w:p>
        </w:tc>
        <w:tc>
          <w:tcPr>
            <w:tcW w:w="5724" w:type="dxa"/>
            <w:shd w:val="clear" w:color="auto" w:fill="365F91" w:themeFill="accent1" w:themeFillShade="BF"/>
            <w:hideMark/>
          </w:tcPr>
          <w:p w14:paraId="310B1F41" w14:textId="77777777" w:rsidR="000E0F5F" w:rsidRDefault="000E0F5F" w:rsidP="00C210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Cs w:val="22"/>
              </w:rPr>
            </w:pPr>
          </w:p>
          <w:p w14:paraId="230E2054" w14:textId="77777777" w:rsidR="000E0F5F" w:rsidRDefault="000E0F5F" w:rsidP="00C210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Cs w:val="22"/>
              </w:rPr>
            </w:pPr>
          </w:p>
          <w:p w14:paraId="7493B3DD" w14:textId="12BACB18" w:rsidR="00C210E9" w:rsidRPr="00AA59B5" w:rsidRDefault="00C210E9" w:rsidP="00C210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Cs w:val="22"/>
              </w:rPr>
            </w:pPr>
            <w:r w:rsidRPr="00AA59B5">
              <w:rPr>
                <w:rFonts w:ascii="Arial" w:eastAsia="Times New Roman" w:hAnsi="Arial" w:cs="Arial"/>
                <w:bCs w:val="0"/>
                <w:color w:val="FFFFFF" w:themeColor="background1"/>
                <w:szCs w:val="22"/>
              </w:rPr>
              <w:t>CATEGORY OF WORK</w:t>
            </w:r>
          </w:p>
        </w:tc>
        <w:tc>
          <w:tcPr>
            <w:tcW w:w="1710" w:type="dxa"/>
            <w:shd w:val="clear" w:color="auto" w:fill="365F91" w:themeFill="accent1" w:themeFillShade="BF"/>
            <w:hideMark/>
          </w:tcPr>
          <w:p w14:paraId="6168196C" w14:textId="438FC84A" w:rsidR="00C210E9" w:rsidRPr="00AA59B5" w:rsidRDefault="00C210E9" w:rsidP="00C210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Cs w:val="22"/>
              </w:rPr>
            </w:pPr>
            <w:r w:rsidRPr="00AA59B5">
              <w:rPr>
                <w:rFonts w:ascii="Arial" w:eastAsia="Times New Roman" w:hAnsi="Arial" w:cs="Arial"/>
                <w:bCs w:val="0"/>
                <w:color w:val="FFFFFF" w:themeColor="background1"/>
                <w:szCs w:val="22"/>
              </w:rPr>
              <w:t>San Bernardino</w:t>
            </w:r>
            <w:r w:rsidR="000E0F5F">
              <w:rPr>
                <w:rFonts w:ascii="Arial" w:eastAsia="Times New Roman" w:hAnsi="Arial" w:cs="Arial"/>
                <w:bCs w:val="0"/>
                <w:color w:val="FFFFFF" w:themeColor="background1"/>
                <w:szCs w:val="22"/>
              </w:rPr>
              <w:t>, Riverside and Los Angeles</w:t>
            </w:r>
          </w:p>
          <w:p w14:paraId="71A4330D" w14:textId="77777777" w:rsidR="00C210E9" w:rsidRPr="00AA59B5" w:rsidRDefault="00C210E9" w:rsidP="00C210E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Cs w:val="22"/>
              </w:rPr>
            </w:pPr>
            <w:r w:rsidRPr="00AA59B5">
              <w:rPr>
                <w:rFonts w:ascii="Arial" w:eastAsia="Times New Roman" w:hAnsi="Arial" w:cs="Arial"/>
                <w:bCs w:val="0"/>
                <w:color w:val="FFFFFF" w:themeColor="background1"/>
                <w:szCs w:val="22"/>
              </w:rPr>
              <w:t># DBE Firms</w:t>
            </w:r>
          </w:p>
        </w:tc>
      </w:tr>
      <w:tr w:rsidR="00BF62AF" w:rsidRPr="00AA59B5" w14:paraId="12BD8ECE" w14:textId="77777777" w:rsidTr="000E767B">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854" w:type="dxa"/>
            <w:vAlign w:val="center"/>
          </w:tcPr>
          <w:p w14:paraId="26150254" w14:textId="77777777" w:rsidR="00BF62AF" w:rsidRPr="00AA59B5" w:rsidRDefault="001F1972">
            <w:pPr>
              <w:jc w:val="center"/>
              <w:rPr>
                <w:rFonts w:ascii="Arial" w:hAnsi="Arial" w:cs="Arial"/>
                <w:szCs w:val="22"/>
              </w:rPr>
            </w:pPr>
            <w:r>
              <w:rPr>
                <w:rFonts w:ascii="Arial" w:hAnsi="Arial" w:cs="Arial"/>
                <w:szCs w:val="22"/>
              </w:rPr>
              <w:t>485113</w:t>
            </w:r>
          </w:p>
        </w:tc>
        <w:tc>
          <w:tcPr>
            <w:tcW w:w="5724" w:type="dxa"/>
            <w:vAlign w:val="center"/>
          </w:tcPr>
          <w:p w14:paraId="0F07227E" w14:textId="77777777" w:rsidR="00BF62AF" w:rsidRPr="00AA59B5" w:rsidRDefault="001F1972" w:rsidP="00BF62AF">
            <w:pP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Bus and Other Motor Vehicle Transit Systems</w:t>
            </w:r>
          </w:p>
        </w:tc>
        <w:tc>
          <w:tcPr>
            <w:tcW w:w="1710" w:type="dxa"/>
            <w:vAlign w:val="bottom"/>
          </w:tcPr>
          <w:p w14:paraId="1FC2E450" w14:textId="6D325824" w:rsidR="00BF62AF" w:rsidRPr="00AA59B5" w:rsidRDefault="000E0F5F" w:rsidP="000E0F5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3</w:t>
            </w:r>
          </w:p>
        </w:tc>
      </w:tr>
      <w:tr w:rsidR="00BF62AF" w:rsidRPr="00AA59B5" w14:paraId="7FB44AE9" w14:textId="77777777" w:rsidTr="0068264E">
        <w:trPr>
          <w:trHeight w:val="270"/>
        </w:trPr>
        <w:tc>
          <w:tcPr>
            <w:cnfStyle w:val="001000000000" w:firstRow="0" w:lastRow="0" w:firstColumn="1" w:lastColumn="0" w:oddVBand="0" w:evenVBand="0" w:oddHBand="0" w:evenHBand="0" w:firstRowFirstColumn="0" w:firstRowLastColumn="0" w:lastRowFirstColumn="0" w:lastRowLastColumn="0"/>
            <w:tcW w:w="1854" w:type="dxa"/>
            <w:vAlign w:val="center"/>
          </w:tcPr>
          <w:p w14:paraId="0D1C4217" w14:textId="5F93C042" w:rsidR="00BF62AF" w:rsidRPr="00AA59B5" w:rsidRDefault="000E0F5F">
            <w:pPr>
              <w:jc w:val="center"/>
              <w:rPr>
                <w:rFonts w:ascii="Arial" w:hAnsi="Arial" w:cs="Arial"/>
                <w:szCs w:val="22"/>
              </w:rPr>
            </w:pPr>
            <w:r>
              <w:rPr>
                <w:rFonts w:ascii="Arial" w:hAnsi="Arial" w:cs="Arial"/>
                <w:szCs w:val="22"/>
              </w:rPr>
              <w:t>531120</w:t>
            </w:r>
          </w:p>
        </w:tc>
        <w:tc>
          <w:tcPr>
            <w:tcW w:w="5724" w:type="dxa"/>
            <w:vAlign w:val="center"/>
          </w:tcPr>
          <w:p w14:paraId="10202A40" w14:textId="38A4381C" w:rsidR="00BF62AF" w:rsidRPr="000E767B" w:rsidRDefault="000E0F5F">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Lessors of Nonresidential Buildings (Except for Mini Warehouses)</w:t>
            </w:r>
          </w:p>
        </w:tc>
        <w:tc>
          <w:tcPr>
            <w:tcW w:w="1710" w:type="dxa"/>
            <w:vAlign w:val="bottom"/>
          </w:tcPr>
          <w:p w14:paraId="3D018E13" w14:textId="77400DE5" w:rsidR="00BF62AF" w:rsidRPr="00AA59B5" w:rsidRDefault="000E0F5F" w:rsidP="000E0F5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5</w:t>
            </w:r>
          </w:p>
        </w:tc>
      </w:tr>
      <w:tr w:rsidR="004C3053" w:rsidRPr="00AA59B5" w14:paraId="6106F368" w14:textId="77777777" w:rsidTr="0068264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54" w:type="dxa"/>
            <w:vAlign w:val="center"/>
          </w:tcPr>
          <w:p w14:paraId="42AACEF2" w14:textId="77777777" w:rsidR="004C3053" w:rsidRDefault="004C3053">
            <w:pPr>
              <w:jc w:val="center"/>
              <w:rPr>
                <w:rFonts w:ascii="Arial" w:hAnsi="Arial" w:cs="Arial"/>
                <w:szCs w:val="22"/>
              </w:rPr>
            </w:pPr>
            <w:r>
              <w:rPr>
                <w:rFonts w:ascii="Arial" w:hAnsi="Arial" w:cs="Arial"/>
                <w:szCs w:val="22"/>
              </w:rPr>
              <w:t>236220</w:t>
            </w:r>
          </w:p>
        </w:tc>
        <w:tc>
          <w:tcPr>
            <w:tcW w:w="5724" w:type="dxa"/>
            <w:vAlign w:val="center"/>
          </w:tcPr>
          <w:p w14:paraId="2DD1EEF6" w14:textId="77777777" w:rsidR="004C3053" w:rsidRDefault="004C3053">
            <w:pP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Commercial and Institutional Building Construction</w:t>
            </w:r>
          </w:p>
        </w:tc>
        <w:tc>
          <w:tcPr>
            <w:tcW w:w="1710" w:type="dxa"/>
            <w:vAlign w:val="bottom"/>
          </w:tcPr>
          <w:p w14:paraId="69C90D0F" w14:textId="232433C4" w:rsidR="004C3053" w:rsidRDefault="000E0F5F" w:rsidP="000E0F5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205</w:t>
            </w:r>
          </w:p>
        </w:tc>
      </w:tr>
      <w:tr w:rsidR="004C3053" w:rsidRPr="00AA59B5" w14:paraId="65759C35" w14:textId="77777777" w:rsidTr="0068264E">
        <w:trPr>
          <w:trHeight w:val="270"/>
        </w:trPr>
        <w:tc>
          <w:tcPr>
            <w:cnfStyle w:val="001000000000" w:firstRow="0" w:lastRow="0" w:firstColumn="1" w:lastColumn="0" w:oddVBand="0" w:evenVBand="0" w:oddHBand="0" w:evenHBand="0" w:firstRowFirstColumn="0" w:firstRowLastColumn="0" w:lastRowFirstColumn="0" w:lastRowLastColumn="0"/>
            <w:tcW w:w="1854" w:type="dxa"/>
            <w:vAlign w:val="center"/>
          </w:tcPr>
          <w:p w14:paraId="62B4B964" w14:textId="3C6C9FFE" w:rsidR="004C3053" w:rsidRDefault="000E0F5F">
            <w:pPr>
              <w:jc w:val="center"/>
              <w:rPr>
                <w:rFonts w:ascii="Arial" w:hAnsi="Arial" w:cs="Arial"/>
                <w:szCs w:val="22"/>
              </w:rPr>
            </w:pPr>
            <w:r>
              <w:rPr>
                <w:rFonts w:ascii="Arial" w:hAnsi="Arial" w:cs="Arial"/>
                <w:szCs w:val="22"/>
              </w:rPr>
              <w:t>237120</w:t>
            </w:r>
          </w:p>
        </w:tc>
        <w:tc>
          <w:tcPr>
            <w:tcW w:w="5724" w:type="dxa"/>
            <w:vAlign w:val="center"/>
          </w:tcPr>
          <w:p w14:paraId="4A391EA6" w14:textId="71ED933F" w:rsidR="004C3053" w:rsidRDefault="000E0F5F">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Oil and Gas Pipeline and Related Structures Construction</w:t>
            </w:r>
          </w:p>
        </w:tc>
        <w:tc>
          <w:tcPr>
            <w:tcW w:w="1710" w:type="dxa"/>
            <w:vAlign w:val="bottom"/>
          </w:tcPr>
          <w:p w14:paraId="0C59A0AC" w14:textId="338D9B17" w:rsidR="004C3053" w:rsidRDefault="000E0F5F" w:rsidP="000E0F5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17</w:t>
            </w:r>
          </w:p>
        </w:tc>
      </w:tr>
      <w:tr w:rsidR="004C3053" w:rsidRPr="00AA59B5" w14:paraId="56E51779" w14:textId="77777777" w:rsidTr="0068264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54" w:type="dxa"/>
            <w:vAlign w:val="center"/>
          </w:tcPr>
          <w:p w14:paraId="6BF68028" w14:textId="1D62A8BB" w:rsidR="004C3053" w:rsidRDefault="000E0F5F">
            <w:pPr>
              <w:jc w:val="center"/>
              <w:rPr>
                <w:rFonts w:ascii="Arial" w:hAnsi="Arial" w:cs="Arial"/>
                <w:szCs w:val="22"/>
              </w:rPr>
            </w:pPr>
            <w:r>
              <w:rPr>
                <w:rFonts w:ascii="Arial" w:hAnsi="Arial" w:cs="Arial"/>
                <w:szCs w:val="22"/>
              </w:rPr>
              <w:t>541512</w:t>
            </w:r>
          </w:p>
        </w:tc>
        <w:tc>
          <w:tcPr>
            <w:tcW w:w="5724" w:type="dxa"/>
            <w:vAlign w:val="center"/>
          </w:tcPr>
          <w:p w14:paraId="6A9F75BD" w14:textId="0F8B0918" w:rsidR="004C3053" w:rsidRDefault="000E0F5F">
            <w:pP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Computer Systems Design Services</w:t>
            </w:r>
          </w:p>
        </w:tc>
        <w:tc>
          <w:tcPr>
            <w:tcW w:w="1710" w:type="dxa"/>
            <w:vAlign w:val="bottom"/>
          </w:tcPr>
          <w:p w14:paraId="0274D391" w14:textId="62C386E7" w:rsidR="004C3053" w:rsidRDefault="000E0F5F" w:rsidP="000E0F5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238</w:t>
            </w:r>
          </w:p>
        </w:tc>
      </w:tr>
      <w:tr w:rsidR="004C3053" w:rsidRPr="00AA59B5" w14:paraId="29285569" w14:textId="77777777" w:rsidTr="0068264E">
        <w:trPr>
          <w:trHeight w:val="270"/>
        </w:trPr>
        <w:tc>
          <w:tcPr>
            <w:cnfStyle w:val="001000000000" w:firstRow="0" w:lastRow="0" w:firstColumn="1" w:lastColumn="0" w:oddVBand="0" w:evenVBand="0" w:oddHBand="0" w:evenHBand="0" w:firstRowFirstColumn="0" w:firstRowLastColumn="0" w:lastRowFirstColumn="0" w:lastRowLastColumn="0"/>
            <w:tcW w:w="1854" w:type="dxa"/>
            <w:vAlign w:val="center"/>
          </w:tcPr>
          <w:p w14:paraId="2DC266D6" w14:textId="46CDED35" w:rsidR="004C3053" w:rsidRDefault="000E0F5F">
            <w:pPr>
              <w:jc w:val="center"/>
              <w:rPr>
                <w:rFonts w:ascii="Arial" w:hAnsi="Arial" w:cs="Arial"/>
                <w:szCs w:val="22"/>
              </w:rPr>
            </w:pPr>
            <w:r>
              <w:rPr>
                <w:rFonts w:ascii="Arial" w:hAnsi="Arial" w:cs="Arial"/>
                <w:szCs w:val="22"/>
              </w:rPr>
              <w:t>238330</w:t>
            </w:r>
          </w:p>
        </w:tc>
        <w:tc>
          <w:tcPr>
            <w:tcW w:w="5724" w:type="dxa"/>
            <w:vAlign w:val="center"/>
          </w:tcPr>
          <w:p w14:paraId="15EFDD1D" w14:textId="2480EC56" w:rsidR="004C3053" w:rsidRDefault="000E0F5F">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Flooring Contractors</w:t>
            </w:r>
          </w:p>
        </w:tc>
        <w:tc>
          <w:tcPr>
            <w:tcW w:w="1710" w:type="dxa"/>
            <w:vAlign w:val="bottom"/>
          </w:tcPr>
          <w:p w14:paraId="2E024BF2" w14:textId="6773A09D" w:rsidR="004C3053" w:rsidRDefault="000E0F5F" w:rsidP="000E0F5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13</w:t>
            </w:r>
          </w:p>
        </w:tc>
      </w:tr>
      <w:tr w:rsidR="004C3053" w:rsidRPr="00AA59B5" w14:paraId="7EA73D19" w14:textId="77777777" w:rsidTr="0068264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54" w:type="dxa"/>
            <w:vAlign w:val="center"/>
          </w:tcPr>
          <w:p w14:paraId="0B617676" w14:textId="6F68866B" w:rsidR="004C3053" w:rsidRDefault="000E0F5F">
            <w:pPr>
              <w:jc w:val="center"/>
              <w:rPr>
                <w:rFonts w:ascii="Arial" w:hAnsi="Arial" w:cs="Arial"/>
                <w:szCs w:val="22"/>
              </w:rPr>
            </w:pPr>
            <w:r>
              <w:rPr>
                <w:rFonts w:ascii="Arial" w:hAnsi="Arial" w:cs="Arial"/>
                <w:szCs w:val="22"/>
              </w:rPr>
              <w:t>238320</w:t>
            </w:r>
          </w:p>
        </w:tc>
        <w:tc>
          <w:tcPr>
            <w:tcW w:w="5724" w:type="dxa"/>
            <w:vAlign w:val="center"/>
          </w:tcPr>
          <w:p w14:paraId="350A5420" w14:textId="65412C61" w:rsidR="004C3053" w:rsidRDefault="000E0F5F">
            <w:pP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Paint and Wall Covering Contractors</w:t>
            </w:r>
          </w:p>
        </w:tc>
        <w:tc>
          <w:tcPr>
            <w:tcW w:w="1710" w:type="dxa"/>
            <w:vAlign w:val="bottom"/>
          </w:tcPr>
          <w:p w14:paraId="684A1F7F" w14:textId="74B7F40E" w:rsidR="004C3053" w:rsidRDefault="000E0F5F" w:rsidP="000E0F5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45</w:t>
            </w:r>
          </w:p>
        </w:tc>
      </w:tr>
      <w:tr w:rsidR="004C3053" w:rsidRPr="00AA59B5" w14:paraId="293BD97D" w14:textId="77777777" w:rsidTr="0068264E">
        <w:trPr>
          <w:trHeight w:val="270"/>
        </w:trPr>
        <w:tc>
          <w:tcPr>
            <w:cnfStyle w:val="001000000000" w:firstRow="0" w:lastRow="0" w:firstColumn="1" w:lastColumn="0" w:oddVBand="0" w:evenVBand="0" w:oddHBand="0" w:evenHBand="0" w:firstRowFirstColumn="0" w:firstRowLastColumn="0" w:lastRowFirstColumn="0" w:lastRowLastColumn="0"/>
            <w:tcW w:w="1854" w:type="dxa"/>
            <w:vAlign w:val="center"/>
          </w:tcPr>
          <w:p w14:paraId="70DFF2D9" w14:textId="00BAD1C2" w:rsidR="004C3053" w:rsidRDefault="000E0F5F">
            <w:pPr>
              <w:jc w:val="center"/>
              <w:rPr>
                <w:rFonts w:ascii="Arial" w:hAnsi="Arial" w:cs="Arial"/>
                <w:szCs w:val="22"/>
              </w:rPr>
            </w:pPr>
            <w:r>
              <w:rPr>
                <w:rFonts w:ascii="Arial" w:hAnsi="Arial" w:cs="Arial"/>
                <w:szCs w:val="22"/>
              </w:rPr>
              <w:t>561730</w:t>
            </w:r>
          </w:p>
        </w:tc>
        <w:tc>
          <w:tcPr>
            <w:tcW w:w="5724" w:type="dxa"/>
            <w:vAlign w:val="center"/>
          </w:tcPr>
          <w:p w14:paraId="5A7457F5" w14:textId="55E97131" w:rsidR="004C3053" w:rsidRDefault="000E0F5F">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Landscaping Services</w:t>
            </w:r>
          </w:p>
        </w:tc>
        <w:tc>
          <w:tcPr>
            <w:tcW w:w="1710" w:type="dxa"/>
            <w:vAlign w:val="bottom"/>
          </w:tcPr>
          <w:p w14:paraId="3C5F25D9" w14:textId="6307715E" w:rsidR="004C3053" w:rsidRDefault="000E0F5F" w:rsidP="000E0F5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48</w:t>
            </w:r>
          </w:p>
        </w:tc>
      </w:tr>
      <w:tr w:rsidR="00C210E9" w:rsidRPr="00AA59B5" w14:paraId="2A854376" w14:textId="77777777" w:rsidTr="002C035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54" w:type="dxa"/>
            <w:shd w:val="clear" w:color="auto" w:fill="365F91" w:themeFill="accent1" w:themeFillShade="BF"/>
          </w:tcPr>
          <w:p w14:paraId="78135A36" w14:textId="77777777" w:rsidR="00C210E9" w:rsidRPr="00AA59B5" w:rsidRDefault="00C210E9" w:rsidP="00C210E9">
            <w:pPr>
              <w:spacing w:before="120" w:after="120" w:line="240" w:lineRule="auto"/>
              <w:ind w:left="-69"/>
              <w:rPr>
                <w:rFonts w:ascii="Arial" w:eastAsia="Times New Roman" w:hAnsi="Arial" w:cs="Arial"/>
                <w:color w:val="FFFFFF" w:themeColor="background1"/>
                <w:szCs w:val="22"/>
              </w:rPr>
            </w:pPr>
          </w:p>
        </w:tc>
        <w:tc>
          <w:tcPr>
            <w:tcW w:w="5724" w:type="dxa"/>
            <w:shd w:val="clear" w:color="auto" w:fill="365F91" w:themeFill="accent1" w:themeFillShade="BF"/>
          </w:tcPr>
          <w:p w14:paraId="1978C69A" w14:textId="77777777" w:rsidR="00C210E9" w:rsidRPr="00AA59B5" w:rsidRDefault="00C210E9" w:rsidP="002C035D">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Cs w:val="22"/>
              </w:rPr>
            </w:pPr>
            <w:r w:rsidRPr="00AA59B5">
              <w:rPr>
                <w:rFonts w:ascii="Arial" w:eastAsia="Times New Roman" w:hAnsi="Arial" w:cs="Arial"/>
                <w:b/>
                <w:color w:val="FFFFFF" w:themeColor="background1"/>
                <w:szCs w:val="22"/>
              </w:rPr>
              <w:t>TOTAL NUMBER OF ESTABLISHED DBE FIRMS</w:t>
            </w:r>
            <w:r w:rsidR="002C035D" w:rsidRPr="00AA59B5">
              <w:rPr>
                <w:rFonts w:ascii="Arial" w:eastAsia="Times New Roman" w:hAnsi="Arial" w:cs="Arial"/>
                <w:b/>
                <w:color w:val="FFFFFF" w:themeColor="background1"/>
                <w:szCs w:val="22"/>
              </w:rPr>
              <w:t>:</w:t>
            </w:r>
          </w:p>
        </w:tc>
        <w:tc>
          <w:tcPr>
            <w:tcW w:w="1710" w:type="dxa"/>
            <w:shd w:val="clear" w:color="auto" w:fill="365F91" w:themeFill="accent1" w:themeFillShade="BF"/>
            <w:vAlign w:val="center"/>
          </w:tcPr>
          <w:p w14:paraId="4967B486" w14:textId="38E436A0" w:rsidR="00C210E9" w:rsidRPr="00AA59B5" w:rsidRDefault="000E0F5F" w:rsidP="000E0F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Cs w:val="22"/>
              </w:rPr>
            </w:pPr>
            <w:r>
              <w:rPr>
                <w:rFonts w:ascii="Arial" w:eastAsia="Times New Roman" w:hAnsi="Arial" w:cs="Arial"/>
                <w:b/>
                <w:color w:val="FFFFFF" w:themeColor="background1"/>
                <w:szCs w:val="22"/>
              </w:rPr>
              <w:t>574</w:t>
            </w:r>
          </w:p>
        </w:tc>
      </w:tr>
    </w:tbl>
    <w:p w14:paraId="5579C3FB" w14:textId="77777777" w:rsidR="00C210E9" w:rsidRPr="00AA59B5" w:rsidRDefault="00C210E9">
      <w:pPr>
        <w:spacing w:after="0" w:line="240" w:lineRule="auto"/>
        <w:rPr>
          <w:rFonts w:ascii="Arial" w:hAnsi="Arial" w:cs="Arial"/>
          <w:szCs w:val="22"/>
        </w:rPr>
      </w:pPr>
    </w:p>
    <w:p w14:paraId="3B606447" w14:textId="77777777" w:rsidR="00C210E9" w:rsidRPr="00AA59B5" w:rsidRDefault="00C210E9">
      <w:pPr>
        <w:spacing w:after="0" w:line="240" w:lineRule="auto"/>
        <w:rPr>
          <w:rFonts w:ascii="Arial" w:hAnsi="Arial" w:cs="Arial"/>
          <w:szCs w:val="22"/>
          <w:vertAlign w:val="superscript"/>
        </w:rPr>
      </w:pPr>
    </w:p>
    <w:p w14:paraId="7BF3C770" w14:textId="77777777" w:rsidR="00D012BA" w:rsidRPr="00AA59B5" w:rsidRDefault="00D012BA">
      <w:pPr>
        <w:spacing w:after="0" w:line="240" w:lineRule="auto"/>
        <w:rPr>
          <w:rFonts w:ascii="Arial" w:hAnsi="Arial" w:cs="Arial"/>
          <w:szCs w:val="22"/>
        </w:rPr>
      </w:pPr>
      <w:r w:rsidRPr="00AA59B5">
        <w:rPr>
          <w:rFonts w:ascii="Arial" w:hAnsi="Arial" w:cs="Arial"/>
          <w:szCs w:val="22"/>
          <w:vertAlign w:val="superscript"/>
        </w:rPr>
        <w:t>1</w:t>
      </w:r>
      <w:r w:rsidRPr="00AA59B5">
        <w:rPr>
          <w:rFonts w:ascii="Arial" w:hAnsi="Arial" w:cs="Arial"/>
          <w:szCs w:val="22"/>
        </w:rPr>
        <w:t xml:space="preserve"> </w:t>
      </w:r>
      <w:r w:rsidRPr="00AA59B5">
        <w:rPr>
          <w:rFonts w:ascii="Arial" w:hAnsi="Arial" w:cs="Arial"/>
          <w:b/>
          <w:szCs w:val="22"/>
        </w:rPr>
        <w:t>DATA SOURCE:</w:t>
      </w:r>
      <w:r w:rsidRPr="00AA59B5">
        <w:rPr>
          <w:rFonts w:ascii="Arial" w:hAnsi="Arial" w:cs="Arial"/>
          <w:szCs w:val="22"/>
        </w:rPr>
        <w:t xml:space="preserve"> California UCP DBE Database of Certified Firms.</w:t>
      </w:r>
    </w:p>
    <w:p w14:paraId="5237171C" w14:textId="77777777" w:rsidR="005C5AD2" w:rsidRPr="00AA59B5" w:rsidRDefault="005C5AD2">
      <w:pPr>
        <w:spacing w:after="0" w:line="240" w:lineRule="auto"/>
        <w:rPr>
          <w:rFonts w:ascii="Arial" w:hAnsi="Arial" w:cs="Arial"/>
          <w:szCs w:val="22"/>
        </w:rPr>
      </w:pPr>
    </w:p>
    <w:p w14:paraId="267E7E17" w14:textId="77777777" w:rsidR="000E767B" w:rsidRDefault="000E767B" w:rsidP="00D40390">
      <w:pPr>
        <w:spacing w:after="0" w:line="240" w:lineRule="auto"/>
        <w:jc w:val="center"/>
        <w:outlineLvl w:val="0"/>
        <w:rPr>
          <w:rFonts w:ascii="Arial" w:hAnsi="Arial" w:cs="Arial"/>
          <w:b/>
          <w:szCs w:val="22"/>
        </w:rPr>
      </w:pPr>
      <w:bookmarkStart w:id="13" w:name="_Toc331591925"/>
    </w:p>
    <w:p w14:paraId="5DB807EE" w14:textId="77777777" w:rsidR="000E767B" w:rsidRDefault="000E767B" w:rsidP="00D40390">
      <w:pPr>
        <w:spacing w:after="0" w:line="240" w:lineRule="auto"/>
        <w:jc w:val="center"/>
        <w:outlineLvl w:val="0"/>
        <w:rPr>
          <w:rFonts w:ascii="Arial" w:hAnsi="Arial" w:cs="Arial"/>
          <w:b/>
          <w:szCs w:val="22"/>
        </w:rPr>
      </w:pPr>
    </w:p>
    <w:p w14:paraId="78150B8D" w14:textId="77777777" w:rsidR="00C47B27" w:rsidRDefault="00C47B27" w:rsidP="00D40390">
      <w:pPr>
        <w:spacing w:after="0" w:line="240" w:lineRule="auto"/>
        <w:jc w:val="center"/>
        <w:outlineLvl w:val="0"/>
        <w:rPr>
          <w:rFonts w:ascii="Arial" w:hAnsi="Arial" w:cs="Arial"/>
          <w:b/>
          <w:szCs w:val="22"/>
        </w:rPr>
      </w:pPr>
    </w:p>
    <w:p w14:paraId="5A69151C" w14:textId="77777777" w:rsidR="00C47B27" w:rsidRDefault="00C47B27" w:rsidP="00D40390">
      <w:pPr>
        <w:spacing w:after="0" w:line="240" w:lineRule="auto"/>
        <w:jc w:val="center"/>
        <w:outlineLvl w:val="0"/>
        <w:rPr>
          <w:rFonts w:ascii="Arial" w:hAnsi="Arial" w:cs="Arial"/>
          <w:b/>
          <w:szCs w:val="22"/>
        </w:rPr>
      </w:pPr>
    </w:p>
    <w:p w14:paraId="0C5BBACD" w14:textId="77777777" w:rsidR="00C47B27" w:rsidRDefault="00C47B27" w:rsidP="00D40390">
      <w:pPr>
        <w:spacing w:after="0" w:line="240" w:lineRule="auto"/>
        <w:jc w:val="center"/>
        <w:outlineLvl w:val="0"/>
        <w:rPr>
          <w:rFonts w:ascii="Arial" w:hAnsi="Arial" w:cs="Arial"/>
          <w:b/>
          <w:szCs w:val="22"/>
        </w:rPr>
      </w:pPr>
    </w:p>
    <w:p w14:paraId="361A05F7" w14:textId="77777777" w:rsidR="00C47B27" w:rsidRDefault="00C47B27" w:rsidP="00D40390">
      <w:pPr>
        <w:spacing w:after="0" w:line="240" w:lineRule="auto"/>
        <w:jc w:val="center"/>
        <w:outlineLvl w:val="0"/>
        <w:rPr>
          <w:rFonts w:ascii="Arial" w:hAnsi="Arial" w:cs="Arial"/>
          <w:b/>
          <w:szCs w:val="22"/>
        </w:rPr>
      </w:pPr>
    </w:p>
    <w:p w14:paraId="1F63B71D" w14:textId="77777777" w:rsidR="00C47B27" w:rsidRDefault="00C47B27" w:rsidP="00D40390">
      <w:pPr>
        <w:spacing w:after="0" w:line="240" w:lineRule="auto"/>
        <w:jc w:val="center"/>
        <w:outlineLvl w:val="0"/>
        <w:rPr>
          <w:rFonts w:ascii="Arial" w:hAnsi="Arial" w:cs="Arial"/>
          <w:b/>
          <w:szCs w:val="22"/>
        </w:rPr>
      </w:pPr>
    </w:p>
    <w:p w14:paraId="4F7499F8" w14:textId="77777777" w:rsidR="000E767B" w:rsidRDefault="000E767B" w:rsidP="00D40390">
      <w:pPr>
        <w:spacing w:after="0" w:line="240" w:lineRule="auto"/>
        <w:jc w:val="center"/>
        <w:outlineLvl w:val="0"/>
        <w:rPr>
          <w:rFonts w:ascii="Arial" w:hAnsi="Arial" w:cs="Arial"/>
          <w:b/>
          <w:szCs w:val="22"/>
        </w:rPr>
      </w:pPr>
    </w:p>
    <w:p w14:paraId="137D461D" w14:textId="77777777" w:rsidR="00D012BA" w:rsidRPr="00AA59B5" w:rsidRDefault="00D012BA" w:rsidP="00D40390">
      <w:pPr>
        <w:spacing w:after="0" w:line="240" w:lineRule="auto"/>
        <w:jc w:val="center"/>
        <w:outlineLvl w:val="0"/>
        <w:rPr>
          <w:rFonts w:ascii="Arial" w:hAnsi="Arial" w:cs="Arial"/>
          <w:b/>
          <w:szCs w:val="22"/>
        </w:rPr>
      </w:pPr>
      <w:r w:rsidRPr="00AA59B5">
        <w:rPr>
          <w:rFonts w:ascii="Arial" w:hAnsi="Arial" w:cs="Arial"/>
          <w:b/>
          <w:szCs w:val="22"/>
        </w:rPr>
        <w:lastRenderedPageBreak/>
        <w:t>ATTACHMENT II</w:t>
      </w:r>
      <w:bookmarkEnd w:id="13"/>
    </w:p>
    <w:p w14:paraId="47F78E9E" w14:textId="77777777" w:rsidR="00D012BA" w:rsidRPr="00AA59B5" w:rsidRDefault="00D012BA">
      <w:pPr>
        <w:spacing w:after="0" w:line="240" w:lineRule="auto"/>
        <w:rPr>
          <w:rFonts w:ascii="Arial" w:hAnsi="Arial" w:cs="Arial"/>
          <w:szCs w:val="22"/>
        </w:rPr>
      </w:pPr>
    </w:p>
    <w:p w14:paraId="7F271332" w14:textId="77777777" w:rsidR="001740B2" w:rsidRPr="00AA59B5" w:rsidRDefault="00AA59B5" w:rsidP="00E264FE">
      <w:pPr>
        <w:pStyle w:val="NoSpacing"/>
        <w:spacing w:line="260" w:lineRule="atLeast"/>
        <w:jc w:val="both"/>
        <w:rPr>
          <w:rFonts w:cs="Arial"/>
          <w:b/>
          <w:color w:val="auto"/>
          <w:sz w:val="22"/>
          <w:szCs w:val="22"/>
        </w:rPr>
      </w:pPr>
      <w:r>
        <w:rPr>
          <w:rFonts w:cs="Arial"/>
          <w:b/>
          <w:color w:val="auto"/>
          <w:sz w:val="22"/>
          <w:szCs w:val="22"/>
        </w:rPr>
        <w:t>VVTA</w:t>
      </w:r>
      <w:r w:rsidR="001740B2" w:rsidRPr="00AA59B5">
        <w:rPr>
          <w:rFonts w:cs="Arial"/>
          <w:b/>
          <w:color w:val="auto"/>
          <w:sz w:val="22"/>
          <w:szCs w:val="22"/>
        </w:rPr>
        <w:t xml:space="preserve"> </w:t>
      </w:r>
    </w:p>
    <w:p w14:paraId="1918502A" w14:textId="77777777" w:rsidR="001740B2" w:rsidRPr="00AA59B5" w:rsidRDefault="001740B2" w:rsidP="00E264FE">
      <w:pPr>
        <w:pStyle w:val="NoSpacing"/>
        <w:spacing w:line="260" w:lineRule="atLeast"/>
        <w:jc w:val="both"/>
        <w:rPr>
          <w:rFonts w:cs="Arial"/>
          <w:b/>
          <w:color w:val="auto"/>
          <w:sz w:val="22"/>
          <w:szCs w:val="22"/>
        </w:rPr>
      </w:pPr>
      <w:r w:rsidRPr="00AA59B5">
        <w:rPr>
          <w:rFonts w:cs="Arial"/>
          <w:b/>
          <w:color w:val="auto"/>
          <w:sz w:val="22"/>
          <w:szCs w:val="22"/>
        </w:rPr>
        <w:t xml:space="preserve">FEDERAL TRANSIT ADMINISTRATION </w:t>
      </w:r>
    </w:p>
    <w:p w14:paraId="54C81D6B" w14:textId="171DC400" w:rsidR="001740B2" w:rsidRPr="00AA59B5" w:rsidRDefault="001740B2" w:rsidP="00E264FE">
      <w:pPr>
        <w:pStyle w:val="NoSpacing"/>
        <w:spacing w:line="260" w:lineRule="atLeast"/>
        <w:jc w:val="both"/>
        <w:rPr>
          <w:rFonts w:cs="Arial"/>
          <w:b/>
          <w:color w:val="auto"/>
          <w:sz w:val="22"/>
          <w:szCs w:val="22"/>
        </w:rPr>
      </w:pPr>
      <w:r w:rsidRPr="00AA59B5">
        <w:rPr>
          <w:rFonts w:cs="Arial"/>
          <w:b/>
          <w:color w:val="auto"/>
          <w:sz w:val="22"/>
          <w:szCs w:val="22"/>
        </w:rPr>
        <w:t xml:space="preserve">FEDERAL FISCAL YEAR </w:t>
      </w:r>
      <w:r w:rsidR="00D958AB">
        <w:rPr>
          <w:rFonts w:cs="Arial"/>
          <w:b/>
          <w:color w:val="auto"/>
          <w:sz w:val="22"/>
          <w:szCs w:val="22"/>
        </w:rPr>
        <w:t>2022-2024</w:t>
      </w:r>
      <w:r w:rsidRPr="00AA59B5">
        <w:rPr>
          <w:rFonts w:cs="Arial"/>
          <w:b/>
          <w:color w:val="auto"/>
          <w:sz w:val="22"/>
          <w:szCs w:val="22"/>
        </w:rPr>
        <w:t xml:space="preserve"> </w:t>
      </w:r>
    </w:p>
    <w:p w14:paraId="1C1D7AA0" w14:textId="77777777" w:rsidR="00D012BA" w:rsidRPr="00AA59B5" w:rsidRDefault="00D012BA">
      <w:pPr>
        <w:spacing w:after="0" w:line="240" w:lineRule="auto"/>
        <w:rPr>
          <w:rFonts w:ascii="Arial" w:hAnsi="Arial" w:cs="Arial"/>
          <w:szCs w:val="22"/>
        </w:rPr>
      </w:pPr>
    </w:p>
    <w:p w14:paraId="31F5FD0E" w14:textId="77777777" w:rsidR="00D012BA" w:rsidRPr="00AA59B5" w:rsidRDefault="00D012BA" w:rsidP="00E264FE">
      <w:pPr>
        <w:pStyle w:val="NoSpacing"/>
        <w:spacing w:line="260" w:lineRule="atLeast"/>
        <w:jc w:val="both"/>
        <w:rPr>
          <w:rFonts w:cs="Arial"/>
          <w:b/>
          <w:color w:val="auto"/>
          <w:sz w:val="22"/>
          <w:szCs w:val="22"/>
        </w:rPr>
      </w:pPr>
      <w:r w:rsidRPr="00AA59B5">
        <w:rPr>
          <w:rFonts w:cs="Arial"/>
          <w:b/>
          <w:color w:val="auto"/>
          <w:sz w:val="22"/>
          <w:szCs w:val="22"/>
        </w:rPr>
        <w:t xml:space="preserve"> </w:t>
      </w:r>
      <w:r w:rsidRPr="00AA59B5">
        <w:rPr>
          <w:rFonts w:cs="Arial"/>
          <w:b/>
          <w:color w:val="auto"/>
          <w:sz w:val="22"/>
          <w:szCs w:val="22"/>
          <w:highlight w:val="lightGray"/>
        </w:rPr>
        <w:t>ESTABLISHMENT OF THE DENOMINATOR:</w:t>
      </w:r>
      <w:r w:rsidRPr="00AA59B5">
        <w:rPr>
          <w:rFonts w:cs="Arial"/>
          <w:b/>
          <w:color w:val="auto"/>
          <w:sz w:val="22"/>
          <w:szCs w:val="22"/>
        </w:rPr>
        <w:t xml:space="preserve"> </w:t>
      </w:r>
    </w:p>
    <w:p w14:paraId="44F9CD04" w14:textId="77777777" w:rsidR="00D012BA" w:rsidRPr="00AA59B5" w:rsidRDefault="00D012BA">
      <w:pPr>
        <w:spacing w:after="0" w:line="240" w:lineRule="auto"/>
        <w:rPr>
          <w:rFonts w:ascii="Arial" w:hAnsi="Arial" w:cs="Arial"/>
          <w:szCs w:val="22"/>
        </w:rPr>
      </w:pPr>
    </w:p>
    <w:p w14:paraId="3E3ADE81" w14:textId="606E1F4A" w:rsidR="00D012BA" w:rsidRPr="00AA59B5" w:rsidRDefault="00D012BA">
      <w:pPr>
        <w:spacing w:after="0" w:line="240" w:lineRule="auto"/>
        <w:rPr>
          <w:rFonts w:ascii="Arial" w:hAnsi="Arial" w:cs="Arial"/>
          <w:b/>
          <w:szCs w:val="22"/>
        </w:rPr>
      </w:pPr>
      <w:r w:rsidRPr="00AA59B5">
        <w:rPr>
          <w:rFonts w:ascii="Arial" w:hAnsi="Arial" w:cs="Arial"/>
          <w:szCs w:val="22"/>
        </w:rPr>
        <w:t xml:space="preserve"> </w:t>
      </w:r>
      <w:r w:rsidRPr="00AA59B5">
        <w:rPr>
          <w:rFonts w:ascii="Arial" w:hAnsi="Arial" w:cs="Arial"/>
          <w:b/>
          <w:szCs w:val="22"/>
        </w:rPr>
        <w:t xml:space="preserve"># OF ALL ESTABLISHED FIRMS (DBEs and Non-DBEs) BY NAICS WORK CATEGORIES WITHIN </w:t>
      </w:r>
      <w:r w:rsidR="00E264FE" w:rsidRPr="00AA59B5">
        <w:rPr>
          <w:rFonts w:ascii="Arial" w:hAnsi="Arial" w:cs="Arial"/>
          <w:b/>
          <w:szCs w:val="22"/>
        </w:rPr>
        <w:t>THE</w:t>
      </w:r>
      <w:r w:rsidRPr="00AA59B5">
        <w:rPr>
          <w:rFonts w:ascii="Arial" w:hAnsi="Arial" w:cs="Arial"/>
          <w:b/>
          <w:szCs w:val="22"/>
        </w:rPr>
        <w:t xml:space="preserve"> MARKET AREA (DEFINED AS SAN </w:t>
      </w:r>
      <w:r w:rsidR="00E264FE" w:rsidRPr="00AA59B5">
        <w:rPr>
          <w:rFonts w:ascii="Arial" w:hAnsi="Arial" w:cs="Arial"/>
          <w:b/>
          <w:szCs w:val="22"/>
        </w:rPr>
        <w:t>BERNARDINO</w:t>
      </w:r>
      <w:r w:rsidR="00372542">
        <w:rPr>
          <w:rFonts w:ascii="Arial" w:hAnsi="Arial" w:cs="Arial"/>
          <w:b/>
          <w:szCs w:val="22"/>
        </w:rPr>
        <w:t>, RIVERSIDE, AND LOS ANGELES</w:t>
      </w:r>
      <w:r w:rsidR="00E264FE" w:rsidRPr="00AA59B5">
        <w:rPr>
          <w:rFonts w:ascii="Arial" w:hAnsi="Arial" w:cs="Arial"/>
          <w:b/>
          <w:szCs w:val="22"/>
        </w:rPr>
        <w:t xml:space="preserve"> </w:t>
      </w:r>
      <w:r w:rsidRPr="00AA59B5">
        <w:rPr>
          <w:rFonts w:ascii="Arial" w:hAnsi="Arial" w:cs="Arial"/>
          <w:b/>
          <w:szCs w:val="22"/>
        </w:rPr>
        <w:t>COUNT</w:t>
      </w:r>
      <w:r w:rsidR="00372542">
        <w:rPr>
          <w:rFonts w:ascii="Arial" w:hAnsi="Arial" w:cs="Arial"/>
          <w:b/>
          <w:szCs w:val="22"/>
        </w:rPr>
        <w:t>IES</w:t>
      </w:r>
      <w:r w:rsidRPr="00AA59B5">
        <w:rPr>
          <w:rFonts w:ascii="Arial" w:hAnsi="Arial" w:cs="Arial"/>
          <w:b/>
          <w:szCs w:val="22"/>
        </w:rPr>
        <w:t>)</w:t>
      </w:r>
      <w:r w:rsidRPr="00AA59B5">
        <w:rPr>
          <w:rFonts w:ascii="Arial" w:hAnsi="Arial" w:cs="Arial"/>
          <w:b/>
          <w:szCs w:val="22"/>
          <w:vertAlign w:val="superscript"/>
        </w:rPr>
        <w:t>1</w:t>
      </w:r>
      <w:r w:rsidRPr="00AA59B5">
        <w:rPr>
          <w:rFonts w:ascii="Arial" w:hAnsi="Arial" w:cs="Arial"/>
          <w:b/>
          <w:szCs w:val="22"/>
        </w:rPr>
        <w:t xml:space="preserve"> </w:t>
      </w:r>
    </w:p>
    <w:p w14:paraId="7376E2B6" w14:textId="77777777" w:rsidR="009D553B" w:rsidRPr="00AA59B5" w:rsidRDefault="009D553B">
      <w:pPr>
        <w:spacing w:after="0" w:line="240" w:lineRule="auto"/>
        <w:rPr>
          <w:rFonts w:ascii="Arial" w:hAnsi="Arial" w:cs="Arial"/>
          <w:b/>
          <w:szCs w:val="22"/>
        </w:rPr>
      </w:pPr>
    </w:p>
    <w:tbl>
      <w:tblPr>
        <w:tblStyle w:val="LightShading-Accent1"/>
        <w:tblW w:w="9288" w:type="dxa"/>
        <w:tblLook w:val="04A0" w:firstRow="1" w:lastRow="0" w:firstColumn="1" w:lastColumn="0" w:noHBand="0" w:noVBand="1"/>
      </w:tblPr>
      <w:tblGrid>
        <w:gridCol w:w="1854"/>
        <w:gridCol w:w="5724"/>
        <w:gridCol w:w="1710"/>
      </w:tblGrid>
      <w:tr w:rsidR="002C035D" w:rsidRPr="00AA59B5" w14:paraId="32EA3F5B" w14:textId="77777777" w:rsidTr="00502F90">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854" w:type="dxa"/>
            <w:shd w:val="clear" w:color="auto" w:fill="365F91" w:themeFill="accent1" w:themeFillShade="BF"/>
          </w:tcPr>
          <w:p w14:paraId="30DCA15C" w14:textId="77777777" w:rsidR="000E0F5F" w:rsidRDefault="000E0F5F" w:rsidP="00502F90">
            <w:pPr>
              <w:spacing w:after="0" w:line="240" w:lineRule="auto"/>
              <w:ind w:left="-69"/>
              <w:jc w:val="center"/>
              <w:rPr>
                <w:rFonts w:ascii="Arial" w:eastAsia="Times New Roman" w:hAnsi="Arial" w:cs="Arial"/>
                <w:b w:val="0"/>
                <w:color w:val="FFFFFF" w:themeColor="background1"/>
                <w:szCs w:val="22"/>
              </w:rPr>
            </w:pPr>
          </w:p>
          <w:p w14:paraId="467AE29B" w14:textId="77777777" w:rsidR="000E0F5F" w:rsidRDefault="000E0F5F" w:rsidP="00502F90">
            <w:pPr>
              <w:spacing w:after="0" w:line="240" w:lineRule="auto"/>
              <w:ind w:left="-69"/>
              <w:jc w:val="center"/>
              <w:rPr>
                <w:rFonts w:ascii="Arial" w:eastAsia="Times New Roman" w:hAnsi="Arial" w:cs="Arial"/>
                <w:b w:val="0"/>
                <w:color w:val="FFFFFF" w:themeColor="background1"/>
                <w:szCs w:val="22"/>
              </w:rPr>
            </w:pPr>
          </w:p>
          <w:p w14:paraId="022A3A92" w14:textId="77777777" w:rsidR="000E0F5F" w:rsidRDefault="000E0F5F" w:rsidP="00502F90">
            <w:pPr>
              <w:spacing w:after="0" w:line="240" w:lineRule="auto"/>
              <w:ind w:left="-69"/>
              <w:jc w:val="center"/>
              <w:rPr>
                <w:rFonts w:ascii="Arial" w:eastAsia="Times New Roman" w:hAnsi="Arial" w:cs="Arial"/>
                <w:b w:val="0"/>
                <w:color w:val="FFFFFF" w:themeColor="background1"/>
                <w:szCs w:val="22"/>
              </w:rPr>
            </w:pPr>
          </w:p>
          <w:p w14:paraId="32E456E1" w14:textId="7354400D" w:rsidR="002C035D" w:rsidRPr="00AA59B5" w:rsidRDefault="002C035D" w:rsidP="00502F90">
            <w:pPr>
              <w:spacing w:after="0" w:line="240" w:lineRule="auto"/>
              <w:ind w:left="-69"/>
              <w:jc w:val="center"/>
              <w:rPr>
                <w:rFonts w:ascii="Arial" w:eastAsia="Times New Roman" w:hAnsi="Arial" w:cs="Arial"/>
                <w:bCs w:val="0"/>
                <w:color w:val="FFFFFF" w:themeColor="background1"/>
                <w:szCs w:val="22"/>
              </w:rPr>
            </w:pPr>
            <w:r w:rsidRPr="00AA59B5">
              <w:rPr>
                <w:rFonts w:ascii="Arial" w:eastAsia="Times New Roman" w:hAnsi="Arial" w:cs="Arial"/>
                <w:bCs w:val="0"/>
                <w:color w:val="FFFFFF" w:themeColor="background1"/>
                <w:szCs w:val="22"/>
              </w:rPr>
              <w:t>NAICS Code</w:t>
            </w:r>
          </w:p>
        </w:tc>
        <w:tc>
          <w:tcPr>
            <w:tcW w:w="5724" w:type="dxa"/>
            <w:shd w:val="clear" w:color="auto" w:fill="365F91" w:themeFill="accent1" w:themeFillShade="BF"/>
            <w:hideMark/>
          </w:tcPr>
          <w:p w14:paraId="387E2999" w14:textId="77777777" w:rsidR="000E0F5F" w:rsidRDefault="000E0F5F" w:rsidP="00502F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Cs w:val="22"/>
              </w:rPr>
            </w:pPr>
          </w:p>
          <w:p w14:paraId="5ABD76A4" w14:textId="77777777" w:rsidR="000E0F5F" w:rsidRDefault="000E0F5F" w:rsidP="00502F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Cs w:val="22"/>
              </w:rPr>
            </w:pPr>
          </w:p>
          <w:p w14:paraId="407392AD" w14:textId="77777777" w:rsidR="000E0F5F" w:rsidRDefault="000E0F5F" w:rsidP="00502F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Cs w:val="22"/>
              </w:rPr>
            </w:pPr>
          </w:p>
          <w:p w14:paraId="7CE5CBD4" w14:textId="2915B2A8" w:rsidR="002C035D" w:rsidRPr="00AA59B5" w:rsidRDefault="002C035D" w:rsidP="00502F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Cs w:val="22"/>
              </w:rPr>
            </w:pPr>
            <w:r w:rsidRPr="00AA59B5">
              <w:rPr>
                <w:rFonts w:ascii="Arial" w:eastAsia="Times New Roman" w:hAnsi="Arial" w:cs="Arial"/>
                <w:bCs w:val="0"/>
                <w:color w:val="FFFFFF" w:themeColor="background1"/>
                <w:szCs w:val="22"/>
              </w:rPr>
              <w:t>CATEGORY OF WORK</w:t>
            </w:r>
          </w:p>
        </w:tc>
        <w:tc>
          <w:tcPr>
            <w:tcW w:w="1710" w:type="dxa"/>
            <w:shd w:val="clear" w:color="auto" w:fill="365F91" w:themeFill="accent1" w:themeFillShade="BF"/>
            <w:hideMark/>
          </w:tcPr>
          <w:p w14:paraId="16C978E8" w14:textId="07534F1F" w:rsidR="002C035D" w:rsidRPr="00AA59B5" w:rsidRDefault="002C035D" w:rsidP="00502F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Cs w:val="22"/>
              </w:rPr>
            </w:pPr>
            <w:r w:rsidRPr="00AA59B5">
              <w:rPr>
                <w:rFonts w:ascii="Arial" w:eastAsia="Times New Roman" w:hAnsi="Arial" w:cs="Arial"/>
                <w:bCs w:val="0"/>
                <w:color w:val="FFFFFF" w:themeColor="background1"/>
                <w:szCs w:val="22"/>
              </w:rPr>
              <w:t>San Bernardino</w:t>
            </w:r>
            <w:r w:rsidR="000E0F5F">
              <w:rPr>
                <w:rFonts w:ascii="Arial" w:eastAsia="Times New Roman" w:hAnsi="Arial" w:cs="Arial"/>
                <w:bCs w:val="0"/>
                <w:color w:val="FFFFFF" w:themeColor="background1"/>
                <w:szCs w:val="22"/>
              </w:rPr>
              <w:t>, Riverside, and Los Angeles</w:t>
            </w:r>
          </w:p>
          <w:p w14:paraId="4A301D8B" w14:textId="77777777" w:rsidR="002C035D" w:rsidRPr="00AA59B5" w:rsidRDefault="002C035D" w:rsidP="00502F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Cs w:val="22"/>
              </w:rPr>
            </w:pPr>
            <w:r w:rsidRPr="00AA59B5">
              <w:rPr>
                <w:rFonts w:ascii="Arial" w:eastAsia="Times New Roman" w:hAnsi="Arial" w:cs="Arial"/>
                <w:bCs w:val="0"/>
                <w:color w:val="FFFFFF" w:themeColor="background1"/>
                <w:szCs w:val="22"/>
              </w:rPr>
              <w:t>Total Number Established</w:t>
            </w:r>
          </w:p>
        </w:tc>
      </w:tr>
      <w:tr w:rsidR="00BF62AF" w:rsidRPr="00AA59B5" w14:paraId="58C91A64" w14:textId="77777777" w:rsidTr="00BF62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54" w:type="dxa"/>
            <w:vAlign w:val="center"/>
          </w:tcPr>
          <w:p w14:paraId="5F8D4213" w14:textId="30A61620" w:rsidR="00BF62AF" w:rsidRPr="00AA59B5" w:rsidRDefault="000E0F5F" w:rsidP="0068264E">
            <w:pPr>
              <w:jc w:val="center"/>
              <w:rPr>
                <w:rFonts w:ascii="Arial" w:hAnsi="Arial" w:cs="Arial"/>
                <w:szCs w:val="22"/>
              </w:rPr>
            </w:pPr>
            <w:r>
              <w:rPr>
                <w:rFonts w:ascii="Arial" w:hAnsi="Arial" w:cs="Arial"/>
                <w:szCs w:val="22"/>
              </w:rPr>
              <w:t>485113</w:t>
            </w:r>
          </w:p>
        </w:tc>
        <w:tc>
          <w:tcPr>
            <w:tcW w:w="5724" w:type="dxa"/>
            <w:vAlign w:val="center"/>
          </w:tcPr>
          <w:p w14:paraId="492CBFB3" w14:textId="77777777" w:rsidR="00BF62AF" w:rsidRPr="00AA59B5" w:rsidRDefault="003111F5" w:rsidP="0068264E">
            <w:pP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Bus and Other Motor Vehicle Transit Systems</w:t>
            </w:r>
          </w:p>
        </w:tc>
        <w:tc>
          <w:tcPr>
            <w:tcW w:w="1710" w:type="dxa"/>
            <w:vAlign w:val="bottom"/>
          </w:tcPr>
          <w:p w14:paraId="54C305FA" w14:textId="74A5DC72" w:rsidR="00BF62AF" w:rsidRPr="00AA59B5" w:rsidRDefault="000E0F5F" w:rsidP="000E0F5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56</w:t>
            </w:r>
          </w:p>
        </w:tc>
      </w:tr>
      <w:tr w:rsidR="00BF62AF" w:rsidRPr="00AA59B5" w14:paraId="67C22DE0" w14:textId="77777777" w:rsidTr="00BF62AF">
        <w:trPr>
          <w:trHeight w:val="270"/>
        </w:trPr>
        <w:tc>
          <w:tcPr>
            <w:cnfStyle w:val="001000000000" w:firstRow="0" w:lastRow="0" w:firstColumn="1" w:lastColumn="0" w:oddVBand="0" w:evenVBand="0" w:oddHBand="0" w:evenHBand="0" w:firstRowFirstColumn="0" w:firstRowLastColumn="0" w:lastRowFirstColumn="0" w:lastRowLastColumn="0"/>
            <w:tcW w:w="1854" w:type="dxa"/>
            <w:vAlign w:val="center"/>
          </w:tcPr>
          <w:p w14:paraId="36064E9D" w14:textId="6DB7B81B" w:rsidR="00BF62AF" w:rsidRPr="00AA59B5" w:rsidRDefault="000E0F5F" w:rsidP="0068264E">
            <w:pPr>
              <w:jc w:val="center"/>
              <w:rPr>
                <w:rFonts w:ascii="Arial" w:hAnsi="Arial" w:cs="Arial"/>
                <w:szCs w:val="22"/>
              </w:rPr>
            </w:pPr>
            <w:r>
              <w:rPr>
                <w:rFonts w:ascii="Arial" w:hAnsi="Arial" w:cs="Arial"/>
                <w:szCs w:val="22"/>
              </w:rPr>
              <w:t>531120</w:t>
            </w:r>
          </w:p>
        </w:tc>
        <w:tc>
          <w:tcPr>
            <w:tcW w:w="5724" w:type="dxa"/>
            <w:vAlign w:val="center"/>
          </w:tcPr>
          <w:p w14:paraId="2B02A02C" w14:textId="46DE54B7" w:rsidR="00BF62AF" w:rsidRPr="000E767B" w:rsidRDefault="000E0F5F" w:rsidP="0068264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Lessors of Nonresidential Buildings (Except Mini Warehouses)</w:t>
            </w:r>
          </w:p>
        </w:tc>
        <w:tc>
          <w:tcPr>
            <w:tcW w:w="1710" w:type="dxa"/>
            <w:vAlign w:val="bottom"/>
          </w:tcPr>
          <w:p w14:paraId="1EC7883C" w14:textId="31E4A1AF" w:rsidR="00BF62AF" w:rsidRPr="00AA59B5" w:rsidRDefault="000E0F5F" w:rsidP="000E0F5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1954</w:t>
            </w:r>
          </w:p>
        </w:tc>
      </w:tr>
      <w:tr w:rsidR="003111F5" w:rsidRPr="00AA59B5" w14:paraId="687D7551" w14:textId="77777777" w:rsidTr="00BF62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54" w:type="dxa"/>
            <w:vAlign w:val="center"/>
          </w:tcPr>
          <w:p w14:paraId="1F66E08A" w14:textId="77777777" w:rsidR="003111F5" w:rsidRDefault="003111F5" w:rsidP="0068264E">
            <w:pPr>
              <w:jc w:val="center"/>
              <w:rPr>
                <w:rFonts w:ascii="Arial" w:hAnsi="Arial" w:cs="Arial"/>
                <w:szCs w:val="22"/>
              </w:rPr>
            </w:pPr>
            <w:r>
              <w:rPr>
                <w:rFonts w:ascii="Arial" w:hAnsi="Arial" w:cs="Arial"/>
                <w:szCs w:val="22"/>
              </w:rPr>
              <w:t>236220</w:t>
            </w:r>
          </w:p>
        </w:tc>
        <w:tc>
          <w:tcPr>
            <w:tcW w:w="5724" w:type="dxa"/>
            <w:vAlign w:val="center"/>
          </w:tcPr>
          <w:p w14:paraId="48C0D2C4" w14:textId="77777777" w:rsidR="003111F5" w:rsidRDefault="003111F5" w:rsidP="0068264E">
            <w:pP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Commercial and Institutional Building Construction</w:t>
            </w:r>
          </w:p>
        </w:tc>
        <w:tc>
          <w:tcPr>
            <w:tcW w:w="1710" w:type="dxa"/>
            <w:vAlign w:val="bottom"/>
          </w:tcPr>
          <w:p w14:paraId="286291BB" w14:textId="54C76991" w:rsidR="003111F5" w:rsidRDefault="000E0F5F" w:rsidP="000E0F5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1390</w:t>
            </w:r>
          </w:p>
        </w:tc>
      </w:tr>
      <w:tr w:rsidR="003111F5" w:rsidRPr="00AA59B5" w14:paraId="639093D9" w14:textId="77777777" w:rsidTr="00BF62AF">
        <w:trPr>
          <w:trHeight w:val="270"/>
        </w:trPr>
        <w:tc>
          <w:tcPr>
            <w:cnfStyle w:val="001000000000" w:firstRow="0" w:lastRow="0" w:firstColumn="1" w:lastColumn="0" w:oddVBand="0" w:evenVBand="0" w:oddHBand="0" w:evenHBand="0" w:firstRowFirstColumn="0" w:firstRowLastColumn="0" w:lastRowFirstColumn="0" w:lastRowLastColumn="0"/>
            <w:tcW w:w="1854" w:type="dxa"/>
            <w:vAlign w:val="center"/>
          </w:tcPr>
          <w:p w14:paraId="300AA215" w14:textId="53B3D014" w:rsidR="003111F5" w:rsidRDefault="000E0F5F" w:rsidP="003111F5">
            <w:pPr>
              <w:jc w:val="center"/>
              <w:rPr>
                <w:rFonts w:ascii="Arial" w:hAnsi="Arial" w:cs="Arial"/>
                <w:szCs w:val="22"/>
              </w:rPr>
            </w:pPr>
            <w:r>
              <w:rPr>
                <w:rFonts w:ascii="Arial" w:hAnsi="Arial" w:cs="Arial"/>
                <w:szCs w:val="22"/>
              </w:rPr>
              <w:t>237120</w:t>
            </w:r>
          </w:p>
        </w:tc>
        <w:tc>
          <w:tcPr>
            <w:tcW w:w="5724" w:type="dxa"/>
            <w:vAlign w:val="center"/>
          </w:tcPr>
          <w:p w14:paraId="22F8CA8F" w14:textId="43254521" w:rsidR="003111F5" w:rsidRDefault="000E0F5F" w:rsidP="0068264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Oil and Gas Pipeline and Related Services</w:t>
            </w:r>
          </w:p>
        </w:tc>
        <w:tc>
          <w:tcPr>
            <w:tcW w:w="1710" w:type="dxa"/>
            <w:vAlign w:val="bottom"/>
          </w:tcPr>
          <w:p w14:paraId="3D7F9C00" w14:textId="756953EE" w:rsidR="003111F5" w:rsidRDefault="000E0F5F" w:rsidP="000E0F5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55</w:t>
            </w:r>
          </w:p>
        </w:tc>
      </w:tr>
      <w:tr w:rsidR="003111F5" w:rsidRPr="00AA59B5" w14:paraId="3508663A" w14:textId="77777777" w:rsidTr="00BF62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54" w:type="dxa"/>
            <w:vAlign w:val="center"/>
          </w:tcPr>
          <w:p w14:paraId="3C84E298" w14:textId="60D6D0FB" w:rsidR="003111F5" w:rsidRDefault="000E0F5F" w:rsidP="0068264E">
            <w:pPr>
              <w:jc w:val="center"/>
              <w:rPr>
                <w:rFonts w:ascii="Arial" w:hAnsi="Arial" w:cs="Arial"/>
                <w:szCs w:val="22"/>
              </w:rPr>
            </w:pPr>
            <w:r>
              <w:rPr>
                <w:rFonts w:ascii="Arial" w:hAnsi="Arial" w:cs="Arial"/>
                <w:szCs w:val="22"/>
              </w:rPr>
              <w:t>541512</w:t>
            </w:r>
          </w:p>
        </w:tc>
        <w:tc>
          <w:tcPr>
            <w:tcW w:w="5724" w:type="dxa"/>
            <w:vAlign w:val="center"/>
          </w:tcPr>
          <w:p w14:paraId="50F5B73C" w14:textId="7A72D51E" w:rsidR="003111F5" w:rsidRDefault="000E0F5F" w:rsidP="0068264E">
            <w:pP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Computer Systems Design Services</w:t>
            </w:r>
          </w:p>
        </w:tc>
        <w:tc>
          <w:tcPr>
            <w:tcW w:w="1710" w:type="dxa"/>
            <w:vAlign w:val="bottom"/>
          </w:tcPr>
          <w:p w14:paraId="7D8366B7" w14:textId="31078501" w:rsidR="003111F5" w:rsidRDefault="000E0F5F" w:rsidP="000E0F5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472</w:t>
            </w:r>
          </w:p>
        </w:tc>
      </w:tr>
      <w:tr w:rsidR="003111F5" w:rsidRPr="00AA59B5" w14:paraId="600FD53D" w14:textId="77777777" w:rsidTr="00BF62AF">
        <w:trPr>
          <w:trHeight w:val="270"/>
        </w:trPr>
        <w:tc>
          <w:tcPr>
            <w:cnfStyle w:val="001000000000" w:firstRow="0" w:lastRow="0" w:firstColumn="1" w:lastColumn="0" w:oddVBand="0" w:evenVBand="0" w:oddHBand="0" w:evenHBand="0" w:firstRowFirstColumn="0" w:firstRowLastColumn="0" w:lastRowFirstColumn="0" w:lastRowLastColumn="0"/>
            <w:tcW w:w="1854" w:type="dxa"/>
            <w:vAlign w:val="center"/>
          </w:tcPr>
          <w:p w14:paraId="1E46A0B4" w14:textId="522A97B2" w:rsidR="003111F5" w:rsidRDefault="000E0F5F" w:rsidP="0068264E">
            <w:pPr>
              <w:jc w:val="center"/>
              <w:rPr>
                <w:rFonts w:ascii="Arial" w:hAnsi="Arial" w:cs="Arial"/>
                <w:szCs w:val="22"/>
              </w:rPr>
            </w:pPr>
            <w:r>
              <w:rPr>
                <w:rFonts w:ascii="Arial" w:hAnsi="Arial" w:cs="Arial"/>
                <w:szCs w:val="22"/>
              </w:rPr>
              <w:t>238330</w:t>
            </w:r>
          </w:p>
        </w:tc>
        <w:tc>
          <w:tcPr>
            <w:tcW w:w="5724" w:type="dxa"/>
            <w:vAlign w:val="center"/>
          </w:tcPr>
          <w:p w14:paraId="168FE6DF" w14:textId="061950D0" w:rsidR="003111F5" w:rsidRDefault="000E0F5F" w:rsidP="0068264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Flooring Contractors</w:t>
            </w:r>
          </w:p>
        </w:tc>
        <w:tc>
          <w:tcPr>
            <w:tcW w:w="1710" w:type="dxa"/>
            <w:vAlign w:val="bottom"/>
          </w:tcPr>
          <w:p w14:paraId="2998A572" w14:textId="488AA66B" w:rsidR="003111F5" w:rsidRDefault="00D958AB" w:rsidP="000E0F5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570</w:t>
            </w:r>
          </w:p>
        </w:tc>
      </w:tr>
      <w:tr w:rsidR="003111F5" w:rsidRPr="00AA59B5" w14:paraId="62C8DF85" w14:textId="77777777" w:rsidTr="00BF62A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54" w:type="dxa"/>
            <w:vAlign w:val="center"/>
          </w:tcPr>
          <w:p w14:paraId="5A74624B" w14:textId="337C8F8A" w:rsidR="003111F5" w:rsidRDefault="00D958AB" w:rsidP="0068264E">
            <w:pPr>
              <w:jc w:val="center"/>
              <w:rPr>
                <w:rFonts w:ascii="Arial" w:hAnsi="Arial" w:cs="Arial"/>
                <w:szCs w:val="22"/>
              </w:rPr>
            </w:pPr>
            <w:r>
              <w:rPr>
                <w:rFonts w:ascii="Arial" w:hAnsi="Arial" w:cs="Arial"/>
                <w:szCs w:val="22"/>
              </w:rPr>
              <w:t>238320</w:t>
            </w:r>
          </w:p>
        </w:tc>
        <w:tc>
          <w:tcPr>
            <w:tcW w:w="5724" w:type="dxa"/>
            <w:vAlign w:val="center"/>
          </w:tcPr>
          <w:p w14:paraId="3DEBCEFB" w14:textId="03F28F72" w:rsidR="003111F5" w:rsidRDefault="00D958AB" w:rsidP="0068264E">
            <w:pP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Painting and Wall Covering Contractors</w:t>
            </w:r>
          </w:p>
        </w:tc>
        <w:tc>
          <w:tcPr>
            <w:tcW w:w="1710" w:type="dxa"/>
            <w:vAlign w:val="bottom"/>
          </w:tcPr>
          <w:p w14:paraId="1A705711" w14:textId="56EB2E8C" w:rsidR="003111F5" w:rsidRDefault="00D958AB" w:rsidP="000E0F5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1214</w:t>
            </w:r>
          </w:p>
        </w:tc>
      </w:tr>
      <w:tr w:rsidR="003111F5" w:rsidRPr="00AA59B5" w14:paraId="157EB106" w14:textId="77777777" w:rsidTr="00BF62AF">
        <w:trPr>
          <w:trHeight w:val="270"/>
        </w:trPr>
        <w:tc>
          <w:tcPr>
            <w:cnfStyle w:val="001000000000" w:firstRow="0" w:lastRow="0" w:firstColumn="1" w:lastColumn="0" w:oddVBand="0" w:evenVBand="0" w:oddHBand="0" w:evenHBand="0" w:firstRowFirstColumn="0" w:firstRowLastColumn="0" w:lastRowFirstColumn="0" w:lastRowLastColumn="0"/>
            <w:tcW w:w="1854" w:type="dxa"/>
            <w:vAlign w:val="center"/>
          </w:tcPr>
          <w:p w14:paraId="4F33E1EF" w14:textId="6EB1414E" w:rsidR="003111F5" w:rsidRDefault="00D958AB" w:rsidP="0068264E">
            <w:pPr>
              <w:jc w:val="center"/>
              <w:rPr>
                <w:rFonts w:ascii="Arial" w:hAnsi="Arial" w:cs="Arial"/>
                <w:szCs w:val="22"/>
              </w:rPr>
            </w:pPr>
            <w:r>
              <w:rPr>
                <w:rFonts w:ascii="Arial" w:hAnsi="Arial" w:cs="Arial"/>
                <w:szCs w:val="22"/>
              </w:rPr>
              <w:t>561730</w:t>
            </w:r>
          </w:p>
        </w:tc>
        <w:tc>
          <w:tcPr>
            <w:tcW w:w="5724" w:type="dxa"/>
            <w:vAlign w:val="center"/>
          </w:tcPr>
          <w:p w14:paraId="146F67E4" w14:textId="138A27DA" w:rsidR="003111F5" w:rsidRDefault="00D958AB" w:rsidP="0068264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Landscaping Services</w:t>
            </w:r>
          </w:p>
        </w:tc>
        <w:tc>
          <w:tcPr>
            <w:tcW w:w="1710" w:type="dxa"/>
            <w:vAlign w:val="bottom"/>
          </w:tcPr>
          <w:p w14:paraId="10F1560B" w14:textId="331C52F3" w:rsidR="003111F5" w:rsidRDefault="00D958AB" w:rsidP="000E0F5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2073</w:t>
            </w:r>
          </w:p>
        </w:tc>
      </w:tr>
      <w:tr w:rsidR="002C035D" w:rsidRPr="00AA59B5" w14:paraId="737E8862" w14:textId="77777777" w:rsidTr="002C035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54" w:type="dxa"/>
            <w:shd w:val="clear" w:color="auto" w:fill="365F91" w:themeFill="accent1" w:themeFillShade="BF"/>
          </w:tcPr>
          <w:p w14:paraId="385A0288" w14:textId="77777777" w:rsidR="002C035D" w:rsidRPr="00AA59B5" w:rsidRDefault="002C035D" w:rsidP="00502F90">
            <w:pPr>
              <w:spacing w:before="120" w:after="120" w:line="240" w:lineRule="auto"/>
              <w:ind w:left="-69"/>
              <w:rPr>
                <w:rFonts w:ascii="Arial" w:eastAsia="Times New Roman" w:hAnsi="Arial" w:cs="Arial"/>
                <w:color w:val="FFFFFF" w:themeColor="background1"/>
                <w:szCs w:val="22"/>
              </w:rPr>
            </w:pPr>
          </w:p>
        </w:tc>
        <w:tc>
          <w:tcPr>
            <w:tcW w:w="5724" w:type="dxa"/>
            <w:shd w:val="clear" w:color="auto" w:fill="365F91" w:themeFill="accent1" w:themeFillShade="BF"/>
          </w:tcPr>
          <w:p w14:paraId="701FDC97" w14:textId="77777777" w:rsidR="002C035D" w:rsidRPr="00AA59B5" w:rsidRDefault="002C035D" w:rsidP="00502F90">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Cs w:val="22"/>
              </w:rPr>
            </w:pPr>
            <w:r w:rsidRPr="00AA59B5">
              <w:rPr>
                <w:rFonts w:ascii="Arial" w:eastAsia="Times New Roman" w:hAnsi="Arial" w:cs="Arial"/>
                <w:b/>
                <w:color w:val="FFFFFF" w:themeColor="background1"/>
                <w:szCs w:val="22"/>
              </w:rPr>
              <w:t>TOTAL NUMBER OF ESTABLISHED DBE FIRMS:</w:t>
            </w:r>
          </w:p>
        </w:tc>
        <w:tc>
          <w:tcPr>
            <w:tcW w:w="1710" w:type="dxa"/>
            <w:shd w:val="clear" w:color="auto" w:fill="365F91" w:themeFill="accent1" w:themeFillShade="BF"/>
            <w:vAlign w:val="center"/>
          </w:tcPr>
          <w:p w14:paraId="115E8E1C" w14:textId="544E7808" w:rsidR="002C035D" w:rsidRPr="00AA59B5" w:rsidRDefault="00D958AB" w:rsidP="000E0F5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Cs w:val="22"/>
              </w:rPr>
            </w:pPr>
            <w:r>
              <w:rPr>
                <w:rFonts w:ascii="Arial" w:eastAsia="Times New Roman" w:hAnsi="Arial" w:cs="Arial"/>
                <w:b/>
                <w:color w:val="FFFFFF" w:themeColor="background1"/>
                <w:szCs w:val="22"/>
              </w:rPr>
              <w:t>7784</w:t>
            </w:r>
          </w:p>
        </w:tc>
      </w:tr>
    </w:tbl>
    <w:p w14:paraId="58430AFD" w14:textId="2C48D02F" w:rsidR="00D012BA" w:rsidRPr="00AA59B5" w:rsidRDefault="00D012BA">
      <w:pPr>
        <w:spacing w:after="0" w:line="240" w:lineRule="auto"/>
        <w:rPr>
          <w:rFonts w:ascii="Arial" w:hAnsi="Arial" w:cs="Arial"/>
          <w:szCs w:val="22"/>
        </w:rPr>
      </w:pPr>
      <w:r w:rsidRPr="00AA59B5">
        <w:rPr>
          <w:rFonts w:ascii="Arial" w:hAnsi="Arial" w:cs="Arial"/>
          <w:szCs w:val="22"/>
          <w:vertAlign w:val="superscript"/>
        </w:rPr>
        <w:t>1</w:t>
      </w:r>
      <w:r w:rsidRPr="00AA59B5">
        <w:rPr>
          <w:rFonts w:ascii="Arial" w:hAnsi="Arial" w:cs="Arial"/>
          <w:szCs w:val="22"/>
        </w:rPr>
        <w:t xml:space="preserve"> </w:t>
      </w:r>
      <w:r w:rsidRPr="00AA59B5">
        <w:rPr>
          <w:rFonts w:ascii="Arial" w:hAnsi="Arial" w:cs="Arial"/>
          <w:b/>
          <w:szCs w:val="22"/>
        </w:rPr>
        <w:t xml:space="preserve">DATA SOURCE: </w:t>
      </w:r>
      <w:r w:rsidRPr="00AA59B5">
        <w:rPr>
          <w:rFonts w:ascii="Arial" w:hAnsi="Arial" w:cs="Arial"/>
          <w:szCs w:val="22"/>
        </w:rPr>
        <w:t>20</w:t>
      </w:r>
      <w:r w:rsidR="00FE135F" w:rsidRPr="00AA59B5">
        <w:rPr>
          <w:rFonts w:ascii="Arial" w:hAnsi="Arial" w:cs="Arial"/>
          <w:szCs w:val="22"/>
        </w:rPr>
        <w:t>1</w:t>
      </w:r>
      <w:r w:rsidR="00D958AB">
        <w:rPr>
          <w:rFonts w:ascii="Arial" w:hAnsi="Arial" w:cs="Arial"/>
          <w:szCs w:val="22"/>
        </w:rPr>
        <w:t>8</w:t>
      </w:r>
      <w:r w:rsidRPr="00AA59B5">
        <w:rPr>
          <w:rFonts w:ascii="Arial" w:hAnsi="Arial" w:cs="Arial"/>
          <w:szCs w:val="22"/>
        </w:rPr>
        <w:t xml:space="preserve"> U.S. Census Bureau: County Business Patterns, NAICS Work Category Codes.</w:t>
      </w:r>
    </w:p>
    <w:p w14:paraId="1F0981A0" w14:textId="77777777" w:rsidR="00D012BA" w:rsidRPr="00AA59B5" w:rsidRDefault="00D012BA">
      <w:pPr>
        <w:spacing w:after="0" w:line="240" w:lineRule="auto"/>
        <w:rPr>
          <w:rFonts w:ascii="Arial" w:hAnsi="Arial" w:cs="Arial"/>
          <w:szCs w:val="22"/>
        </w:rPr>
      </w:pPr>
    </w:p>
    <w:p w14:paraId="4ABE9850" w14:textId="77777777" w:rsidR="00875E64" w:rsidRPr="00AA59B5" w:rsidRDefault="00875E64" w:rsidP="00A83D2A">
      <w:pPr>
        <w:spacing w:after="0" w:line="240" w:lineRule="auto"/>
        <w:rPr>
          <w:rFonts w:ascii="Arial" w:eastAsia="Times New Roman" w:hAnsi="Arial" w:cs="Arial"/>
          <w:color w:val="auto"/>
          <w:szCs w:val="22"/>
        </w:rPr>
      </w:pPr>
    </w:p>
    <w:sectPr w:rsidR="00875E64" w:rsidRPr="00AA59B5" w:rsidSect="00CA0A5E">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710A" w14:textId="77777777" w:rsidR="008B476E" w:rsidRDefault="008B476E">
      <w:pPr>
        <w:spacing w:after="0" w:line="240" w:lineRule="auto"/>
      </w:pPr>
      <w:r>
        <w:separator/>
      </w:r>
    </w:p>
    <w:p w14:paraId="42706F17" w14:textId="77777777" w:rsidR="008B476E" w:rsidRDefault="008B476E"/>
    <w:p w14:paraId="6E6292C1" w14:textId="77777777" w:rsidR="008B476E" w:rsidRDefault="008B476E" w:rsidP="00184ABE"/>
    <w:p w14:paraId="56A4E84E" w14:textId="77777777" w:rsidR="008B476E" w:rsidRDefault="008B476E" w:rsidP="00A83D2A"/>
    <w:p w14:paraId="0F70CB49" w14:textId="77777777" w:rsidR="008B476E" w:rsidRDefault="008B476E"/>
    <w:p w14:paraId="753365EA" w14:textId="77777777" w:rsidR="008B476E" w:rsidRDefault="008B476E"/>
    <w:p w14:paraId="4FD9BD44" w14:textId="77777777" w:rsidR="008B476E" w:rsidRDefault="008B476E" w:rsidP="006D7311"/>
    <w:p w14:paraId="6F3EABE6" w14:textId="77777777" w:rsidR="008B476E" w:rsidRDefault="008B476E" w:rsidP="006D7311"/>
    <w:p w14:paraId="52557A5C" w14:textId="77777777" w:rsidR="008B476E" w:rsidRDefault="008B476E" w:rsidP="006D7311"/>
    <w:p w14:paraId="3443F32A" w14:textId="77777777" w:rsidR="008B476E" w:rsidRDefault="008B476E" w:rsidP="006D7311"/>
    <w:p w14:paraId="2DD460A2" w14:textId="77777777" w:rsidR="008B476E" w:rsidRDefault="008B476E" w:rsidP="006D7311"/>
    <w:p w14:paraId="478C008A" w14:textId="77777777" w:rsidR="008B476E" w:rsidRDefault="008B476E" w:rsidP="006D7311"/>
    <w:p w14:paraId="60FD983B" w14:textId="77777777" w:rsidR="008B476E" w:rsidRDefault="008B476E" w:rsidP="006D7311"/>
    <w:p w14:paraId="7BC5F110" w14:textId="77777777" w:rsidR="008B476E" w:rsidRDefault="008B476E" w:rsidP="006D7311"/>
    <w:p w14:paraId="73BDE6A6" w14:textId="77777777" w:rsidR="008B476E" w:rsidRDefault="008B476E" w:rsidP="00640F76"/>
    <w:p w14:paraId="5746679D" w14:textId="77777777" w:rsidR="008B476E" w:rsidRDefault="008B476E" w:rsidP="00640F76"/>
    <w:p w14:paraId="4301CEDF" w14:textId="77777777" w:rsidR="008B476E" w:rsidRDefault="008B476E" w:rsidP="00640F76"/>
    <w:p w14:paraId="376A1CE0" w14:textId="77777777" w:rsidR="008B476E" w:rsidRDefault="008B476E" w:rsidP="00640F76"/>
    <w:p w14:paraId="7CE28B5F" w14:textId="77777777" w:rsidR="008B476E" w:rsidRDefault="008B476E" w:rsidP="00640F76"/>
    <w:p w14:paraId="1A09BF17" w14:textId="77777777" w:rsidR="008B476E" w:rsidRDefault="008B476E" w:rsidP="00640F76"/>
  </w:endnote>
  <w:endnote w:type="continuationSeparator" w:id="0">
    <w:p w14:paraId="79F8A7A2" w14:textId="77777777" w:rsidR="008B476E" w:rsidRDefault="008B476E">
      <w:pPr>
        <w:spacing w:after="0" w:line="240" w:lineRule="auto"/>
      </w:pPr>
      <w:r>
        <w:continuationSeparator/>
      </w:r>
    </w:p>
    <w:p w14:paraId="5343F74D" w14:textId="77777777" w:rsidR="008B476E" w:rsidRDefault="008B476E"/>
    <w:p w14:paraId="717322B5" w14:textId="77777777" w:rsidR="008B476E" w:rsidRDefault="008B476E" w:rsidP="00184ABE"/>
    <w:p w14:paraId="69075C82" w14:textId="77777777" w:rsidR="008B476E" w:rsidRDefault="008B476E" w:rsidP="00A83D2A"/>
    <w:p w14:paraId="5A74D0A6" w14:textId="77777777" w:rsidR="008B476E" w:rsidRDefault="008B476E"/>
    <w:p w14:paraId="4E755FF3" w14:textId="77777777" w:rsidR="008B476E" w:rsidRDefault="008B476E"/>
    <w:p w14:paraId="07EEB97C" w14:textId="77777777" w:rsidR="008B476E" w:rsidRDefault="008B476E" w:rsidP="006D7311"/>
    <w:p w14:paraId="6C4E731B" w14:textId="77777777" w:rsidR="008B476E" w:rsidRDefault="008B476E" w:rsidP="006D7311"/>
    <w:p w14:paraId="18A2C155" w14:textId="77777777" w:rsidR="008B476E" w:rsidRDefault="008B476E" w:rsidP="006D7311"/>
    <w:p w14:paraId="36DF8A5C" w14:textId="77777777" w:rsidR="008B476E" w:rsidRDefault="008B476E" w:rsidP="006D7311"/>
    <w:p w14:paraId="38CBB2E7" w14:textId="77777777" w:rsidR="008B476E" w:rsidRDefault="008B476E" w:rsidP="006D7311"/>
    <w:p w14:paraId="799B2CB1" w14:textId="77777777" w:rsidR="008B476E" w:rsidRDefault="008B476E" w:rsidP="006D7311"/>
    <w:p w14:paraId="510E8E44" w14:textId="77777777" w:rsidR="008B476E" w:rsidRDefault="008B476E" w:rsidP="006D7311"/>
    <w:p w14:paraId="3674AC3B" w14:textId="77777777" w:rsidR="008B476E" w:rsidRDefault="008B476E" w:rsidP="006D7311"/>
    <w:p w14:paraId="350031FE" w14:textId="77777777" w:rsidR="008B476E" w:rsidRDefault="008B476E" w:rsidP="00640F76"/>
    <w:p w14:paraId="638ABFF4" w14:textId="77777777" w:rsidR="008B476E" w:rsidRDefault="008B476E" w:rsidP="00640F76"/>
    <w:p w14:paraId="5CF2D5F2" w14:textId="77777777" w:rsidR="008B476E" w:rsidRDefault="008B476E" w:rsidP="00640F76"/>
    <w:p w14:paraId="6B068ABD" w14:textId="77777777" w:rsidR="008B476E" w:rsidRDefault="008B476E" w:rsidP="00640F76"/>
    <w:p w14:paraId="75056F17" w14:textId="77777777" w:rsidR="008B476E" w:rsidRDefault="008B476E" w:rsidP="00640F76"/>
    <w:p w14:paraId="6C83BE10" w14:textId="77777777" w:rsidR="008B476E" w:rsidRDefault="008B476E" w:rsidP="00640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4E"/>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6243157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9B5A35A" w14:textId="77777777" w:rsidR="008B476E" w:rsidRPr="00CA0A5E" w:rsidRDefault="008B476E">
            <w:pPr>
              <w:pStyle w:val="Footer"/>
              <w:jc w:val="right"/>
              <w:rPr>
                <w:sz w:val="18"/>
                <w:szCs w:val="18"/>
              </w:rPr>
            </w:pPr>
            <w:r w:rsidRPr="00CA0A5E">
              <w:rPr>
                <w:sz w:val="18"/>
                <w:szCs w:val="18"/>
              </w:rPr>
              <w:t xml:space="preserve">Page </w:t>
            </w:r>
            <w:r w:rsidRPr="00CA0A5E">
              <w:rPr>
                <w:bCs/>
                <w:sz w:val="18"/>
                <w:szCs w:val="18"/>
              </w:rPr>
              <w:fldChar w:fldCharType="begin"/>
            </w:r>
            <w:r w:rsidRPr="00CA0A5E">
              <w:rPr>
                <w:bCs/>
                <w:sz w:val="18"/>
                <w:szCs w:val="18"/>
              </w:rPr>
              <w:instrText xml:space="preserve"> PAGE </w:instrText>
            </w:r>
            <w:r w:rsidRPr="00CA0A5E">
              <w:rPr>
                <w:bCs/>
                <w:sz w:val="18"/>
                <w:szCs w:val="18"/>
              </w:rPr>
              <w:fldChar w:fldCharType="separate"/>
            </w:r>
            <w:r w:rsidRPr="00CA0A5E">
              <w:rPr>
                <w:bCs/>
                <w:noProof/>
                <w:sz w:val="18"/>
                <w:szCs w:val="18"/>
              </w:rPr>
              <w:t>2</w:t>
            </w:r>
            <w:r w:rsidRPr="00CA0A5E">
              <w:rPr>
                <w:bCs/>
                <w:sz w:val="18"/>
                <w:szCs w:val="18"/>
              </w:rPr>
              <w:fldChar w:fldCharType="end"/>
            </w:r>
            <w:r w:rsidRPr="00CA0A5E">
              <w:rPr>
                <w:sz w:val="18"/>
                <w:szCs w:val="18"/>
              </w:rPr>
              <w:t xml:space="preserve"> of </w:t>
            </w:r>
            <w:r w:rsidRPr="00CA0A5E">
              <w:rPr>
                <w:bCs/>
                <w:sz w:val="18"/>
                <w:szCs w:val="18"/>
              </w:rPr>
              <w:fldChar w:fldCharType="begin"/>
            </w:r>
            <w:r w:rsidRPr="00CA0A5E">
              <w:rPr>
                <w:bCs/>
                <w:sz w:val="18"/>
                <w:szCs w:val="18"/>
              </w:rPr>
              <w:instrText xml:space="preserve"> NUMPAGES  </w:instrText>
            </w:r>
            <w:r w:rsidRPr="00CA0A5E">
              <w:rPr>
                <w:bCs/>
                <w:sz w:val="18"/>
                <w:szCs w:val="18"/>
              </w:rPr>
              <w:fldChar w:fldCharType="separate"/>
            </w:r>
            <w:r w:rsidRPr="00CA0A5E">
              <w:rPr>
                <w:bCs/>
                <w:noProof/>
                <w:sz w:val="18"/>
                <w:szCs w:val="18"/>
              </w:rPr>
              <w:t>2</w:t>
            </w:r>
            <w:r w:rsidRPr="00CA0A5E">
              <w:rPr>
                <w:bCs/>
                <w:sz w:val="18"/>
                <w:szCs w:val="18"/>
              </w:rPr>
              <w:fldChar w:fldCharType="end"/>
            </w:r>
          </w:p>
        </w:sdtContent>
      </w:sdt>
    </w:sdtContent>
  </w:sdt>
  <w:p w14:paraId="5848A210" w14:textId="77777777" w:rsidR="008B476E" w:rsidRDefault="008B4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D64A" w14:textId="77777777" w:rsidR="008B476E" w:rsidRDefault="008B476E">
      <w:pPr>
        <w:spacing w:after="0" w:line="240" w:lineRule="auto"/>
      </w:pPr>
    </w:p>
    <w:p w14:paraId="77C89F82" w14:textId="77777777" w:rsidR="008B476E" w:rsidRDefault="008B476E">
      <w:pPr>
        <w:spacing w:after="0" w:line="240" w:lineRule="auto"/>
      </w:pPr>
      <w:r>
        <w:separator/>
      </w:r>
    </w:p>
  </w:footnote>
  <w:footnote w:type="continuationSeparator" w:id="0">
    <w:p w14:paraId="12955967" w14:textId="77777777" w:rsidR="008B476E" w:rsidRDefault="008B476E">
      <w:pPr>
        <w:spacing w:after="0" w:line="240" w:lineRule="auto"/>
      </w:pPr>
      <w:r>
        <w:continuationSeparator/>
      </w:r>
    </w:p>
    <w:p w14:paraId="069373ED" w14:textId="77777777" w:rsidR="008B476E" w:rsidRDefault="008B476E"/>
    <w:p w14:paraId="61D304B7" w14:textId="77777777" w:rsidR="008B476E" w:rsidRDefault="008B476E" w:rsidP="00184ABE"/>
    <w:p w14:paraId="7768D477" w14:textId="77777777" w:rsidR="008B476E" w:rsidRDefault="008B476E" w:rsidP="00A83D2A"/>
    <w:p w14:paraId="0BABE054" w14:textId="77777777" w:rsidR="008B476E" w:rsidRDefault="008B476E"/>
    <w:p w14:paraId="5BC9BD2C" w14:textId="77777777" w:rsidR="008B476E" w:rsidRDefault="008B476E"/>
    <w:p w14:paraId="656B25D6" w14:textId="77777777" w:rsidR="008B476E" w:rsidRDefault="008B476E" w:rsidP="006D7311"/>
    <w:p w14:paraId="5A976F50" w14:textId="77777777" w:rsidR="008B476E" w:rsidRDefault="008B476E" w:rsidP="006D7311"/>
    <w:p w14:paraId="7E963177" w14:textId="77777777" w:rsidR="008B476E" w:rsidRDefault="008B476E" w:rsidP="006D7311"/>
    <w:p w14:paraId="62F4A787" w14:textId="77777777" w:rsidR="008B476E" w:rsidRDefault="008B476E" w:rsidP="006D7311"/>
    <w:p w14:paraId="5ECBC546" w14:textId="77777777" w:rsidR="008B476E" w:rsidRDefault="008B476E" w:rsidP="006D7311"/>
    <w:p w14:paraId="4A5C0976" w14:textId="77777777" w:rsidR="008B476E" w:rsidRDefault="008B476E" w:rsidP="006D7311"/>
    <w:p w14:paraId="47E3D772" w14:textId="77777777" w:rsidR="008B476E" w:rsidRDefault="008B476E" w:rsidP="006D7311"/>
    <w:p w14:paraId="0ACD199E" w14:textId="77777777" w:rsidR="008B476E" w:rsidRDefault="008B476E" w:rsidP="006D7311"/>
    <w:p w14:paraId="795C76C5" w14:textId="77777777" w:rsidR="008B476E" w:rsidRDefault="008B476E" w:rsidP="00640F76"/>
    <w:p w14:paraId="6B45627E" w14:textId="77777777" w:rsidR="008B476E" w:rsidRDefault="008B476E" w:rsidP="00640F76"/>
    <w:p w14:paraId="5FE07096" w14:textId="77777777" w:rsidR="008B476E" w:rsidRDefault="008B476E" w:rsidP="00640F76"/>
    <w:p w14:paraId="404C0B3A" w14:textId="77777777" w:rsidR="008B476E" w:rsidRDefault="008B476E" w:rsidP="00640F76"/>
    <w:p w14:paraId="405776A7" w14:textId="77777777" w:rsidR="008B476E" w:rsidRDefault="008B476E" w:rsidP="00640F76"/>
    <w:p w14:paraId="766FC28D" w14:textId="77777777" w:rsidR="008B476E" w:rsidRDefault="008B476E" w:rsidP="00640F76"/>
  </w:footnote>
  <w:footnote w:id="1">
    <w:p w14:paraId="528C9718" w14:textId="77777777" w:rsidR="008B476E" w:rsidRPr="007C43CC" w:rsidRDefault="008B476E">
      <w:pPr>
        <w:pStyle w:val="FootnoteText"/>
        <w:rPr>
          <w:rFonts w:asciiTheme="minorHAnsi" w:eastAsia="Times New Roman" w:hAnsiTheme="minorHAnsi" w:cstheme="minorHAnsi"/>
          <w:color w:val="auto"/>
        </w:rPr>
      </w:pPr>
      <w:r>
        <w:rPr>
          <w:rStyle w:val="FootnoteReference"/>
        </w:rPr>
        <w:footnoteRef/>
      </w:r>
      <w:r>
        <w:t xml:space="preserve"> </w:t>
      </w:r>
      <w:r w:rsidRPr="007C43CC">
        <w:rPr>
          <w:rFonts w:asciiTheme="minorHAnsi" w:eastAsia="Times New Roman" w:hAnsiTheme="minorHAnsi" w:cstheme="minorHAnsi"/>
          <w:color w:val="auto"/>
        </w:rPr>
        <w:t>26.45 represents Title 49 CFR Part 26 regulatory goal setting methodology reference.</w:t>
      </w:r>
    </w:p>
  </w:footnote>
  <w:footnote w:id="2">
    <w:p w14:paraId="768D62FC" w14:textId="77777777" w:rsidR="008B476E" w:rsidRDefault="008B476E" w:rsidP="00600A80">
      <w:pPr>
        <w:pStyle w:val="FootnoteText"/>
      </w:pPr>
      <w:r>
        <w:rPr>
          <w:rStyle w:val="FootnoteReference"/>
        </w:rPr>
        <w:footnoteRef/>
      </w:r>
      <w:r>
        <w:t xml:space="preserve"> See </w:t>
      </w:r>
      <w:r w:rsidRPr="00A833B6">
        <w:rPr>
          <w:rFonts w:asciiTheme="minorHAnsi" w:eastAsia="Times New Roman" w:hAnsiTheme="minorHAnsi" w:cstheme="minorHAnsi"/>
          <w:color w:val="auto"/>
          <w:sz w:val="22"/>
        </w:rPr>
        <w:t xml:space="preserve">Title 49 CFR Part 26 </w:t>
      </w:r>
      <w:r>
        <w:rPr>
          <w:rFonts w:asciiTheme="minorHAnsi" w:eastAsia="Times New Roman" w:hAnsiTheme="minorHAnsi" w:cstheme="minorHAnsi"/>
          <w:color w:val="auto"/>
          <w:sz w:val="22"/>
        </w:rPr>
        <w:t>Section 26.39 “Fostering Small Business Participation.”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C007" w14:textId="77777777" w:rsidR="008B476E" w:rsidRPr="006D7311" w:rsidRDefault="00372542" w:rsidP="006D7311">
    <w:pPr>
      <w:tabs>
        <w:tab w:val="right" w:pos="9360"/>
      </w:tabs>
      <w:spacing w:after="0"/>
      <w:rPr>
        <w:i/>
        <w:sz w:val="16"/>
      </w:rPr>
    </w:pPr>
    <w:r>
      <w:rPr>
        <w:noProof/>
      </w:rPr>
      <w:pict w14:anchorId="484F9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10384"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Lucida Grande&quot;;font-size:1pt" string="DRAFT"/>
          <w10:wrap anchorx="margin" anchory="margin"/>
        </v:shape>
      </w:pict>
    </w:r>
    <w:r w:rsidR="008B476E" w:rsidRPr="006D7311">
      <w:rPr>
        <w:i/>
        <w:sz w:val="16"/>
      </w:rPr>
      <w:t>FTA DBE Goal Methodology FFY 2013</w:t>
    </w:r>
  </w:p>
  <w:p w14:paraId="146EC4E1" w14:textId="77777777" w:rsidR="008B476E" w:rsidRDefault="008B476E" w:rsidP="00640F76">
    <w:pPr>
      <w:pStyle w:val="Header"/>
    </w:pPr>
    <w:r w:rsidRPr="006D7311">
      <w:rPr>
        <w:i/>
        <w:sz w:val="16"/>
      </w:rPr>
      <w:t xml:space="preserve">Page </w:t>
    </w:r>
    <w:r w:rsidRPr="006D7311">
      <w:rPr>
        <w:i/>
        <w:sz w:val="16"/>
      </w:rPr>
      <w:fldChar w:fldCharType="begin"/>
    </w:r>
    <w:r w:rsidRPr="006D7311">
      <w:rPr>
        <w:i/>
        <w:sz w:val="16"/>
      </w:rPr>
      <w:instrText xml:space="preserve"> PAGE </w:instrText>
    </w:r>
    <w:r w:rsidRPr="006D7311">
      <w:rPr>
        <w:i/>
        <w:sz w:val="16"/>
      </w:rPr>
      <w:fldChar w:fldCharType="separate"/>
    </w:r>
    <w:r>
      <w:rPr>
        <w:i/>
        <w:noProof/>
        <w:sz w:val="16"/>
      </w:rPr>
      <w:t>10</w:t>
    </w:r>
    <w:r w:rsidRPr="006D7311">
      <w:rPr>
        <w:i/>
        <w:sz w:val="16"/>
      </w:rPr>
      <w:fldChar w:fldCharType="end"/>
    </w:r>
    <w:r w:rsidRPr="006D7311">
      <w:rPr>
        <w:i/>
        <w:sz w:val="16"/>
      </w:rPr>
      <w:t xml:space="preserve"> of </w:t>
    </w:r>
    <w:r w:rsidRPr="006D7311">
      <w:rPr>
        <w:i/>
        <w:sz w:val="16"/>
      </w:rPr>
      <w:fldChar w:fldCharType="begin"/>
    </w:r>
    <w:r w:rsidRPr="006D7311">
      <w:rPr>
        <w:i/>
        <w:sz w:val="16"/>
      </w:rPr>
      <w:instrText xml:space="preserve"> NUMPAGES </w:instrText>
    </w:r>
    <w:r w:rsidRPr="006D7311">
      <w:rPr>
        <w:i/>
        <w:sz w:val="16"/>
      </w:rPr>
      <w:fldChar w:fldCharType="separate"/>
    </w:r>
    <w:r>
      <w:rPr>
        <w:i/>
        <w:noProof/>
        <w:sz w:val="16"/>
      </w:rPr>
      <w:t>10</w:t>
    </w:r>
    <w:r w:rsidRPr="006D7311">
      <w:rPr>
        <w:i/>
        <w:sz w:val="16"/>
      </w:rPr>
      <w:fldChar w:fldCharType="end"/>
    </w:r>
    <w:r>
      <w:rPr>
        <w:noProof/>
      </w:rPr>
      <mc:AlternateContent>
        <mc:Choice Requires="wps">
          <w:drawing>
            <wp:anchor distT="0" distB="0" distL="114300" distR="114300" simplePos="0" relativeHeight="251657216" behindDoc="1" locked="0" layoutInCell="1" allowOverlap="1" wp14:anchorId="7A92E977" wp14:editId="71136FF1">
              <wp:simplePos x="0" y="0"/>
              <wp:positionH relativeFrom="page">
                <wp:posOffset>6238240</wp:posOffset>
              </wp:positionH>
              <wp:positionV relativeFrom="page">
                <wp:posOffset>466725</wp:posOffset>
              </wp:positionV>
              <wp:extent cx="1409700" cy="3663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36639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86451E2" w14:textId="77777777" w:rsidR="008B476E" w:rsidRDefault="008B476E" w:rsidP="00D40390">
                          <w:pPr>
                            <w:rPr>
                              <w:rFonts w:ascii="Times New Roman" w:eastAsia="Times New Roman" w:hAnsi="Times New Roman"/>
                              <w:color w:val="auto"/>
                              <w:sz w:val="20"/>
                            </w:rPr>
                          </w:pPr>
                          <w:r>
                            <w:rPr>
                              <w:noProof/>
                            </w:rPr>
                            <w:drawing>
                              <wp:inline distT="0" distB="0" distL="0" distR="0" wp14:anchorId="0E91427E" wp14:editId="75B09996">
                                <wp:extent cx="1190625" cy="266700"/>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66700"/>
                                        </a:xfrm>
                                        <a:prstGeom prst="rect">
                                          <a:avLst/>
                                        </a:prstGeom>
                                        <a:noFill/>
                                        <a:ln>
                                          <a:noFill/>
                                        </a:ln>
                                      </pic:spPr>
                                    </pic:pic>
                                  </a:graphicData>
                                </a:graphic>
                              </wp:inline>
                            </w:drawing>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2E977" id="Rectangle 3" o:spid="_x0000_s1026" style="position:absolute;margin-left:491.2pt;margin-top:36.75pt;width:111pt;height:2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" stroked="f">
              <v:stroke joinstyle="round"/>
              <v:path arrowok="t"/>
              <v:textbox inset="3pt,3pt,3pt,3pt">
                <w:txbxContent>
                  <w:p w14:paraId="186451E2" w14:textId="77777777" w:rsidR="00AA59B5" w:rsidRDefault="00AA59B5" w:rsidP="00D40390">
                    <w:pPr>
                      <w:rPr>
                        <w:rFonts w:ascii="Times New Roman" w:eastAsia="Times New Roman" w:hAnsi="Times New Roman"/>
                        <w:color w:val="auto"/>
                        <w:sz w:val="20"/>
                      </w:rPr>
                    </w:pPr>
                    <w:r>
                      <w:rPr>
                        <w:noProof/>
                      </w:rPr>
                      <w:drawing>
                        <wp:inline distT="0" distB="0" distL="0" distR="0" wp14:anchorId="0E91427E" wp14:editId="75B09996">
                          <wp:extent cx="1190625" cy="266700"/>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266700"/>
                                  </a:xfrm>
                                  <a:prstGeom prst="rect">
                                    <a:avLst/>
                                  </a:prstGeom>
                                  <a:noFill/>
                                  <a:ln>
                                    <a:noFill/>
                                  </a:ln>
                                </pic:spPr>
                              </pic:pic>
                            </a:graphicData>
                          </a:graphic>
                        </wp:inline>
                      </w:drawing>
                    </w:r>
                  </w:p>
                </w:txbxContent>
              </v:textbox>
              <w10:wrap anchorx="page" anchory="page"/>
            </v:rect>
          </w:pict>
        </mc:Fallback>
      </mc:AlternateContent>
    </w:r>
  </w:p>
  <w:p w14:paraId="7883BAC9" w14:textId="77777777" w:rsidR="008B476E" w:rsidRDefault="008B476E" w:rsidP="00640F76"/>
  <w:p w14:paraId="70A1A30F" w14:textId="77777777" w:rsidR="008B476E" w:rsidRDefault="008B476E" w:rsidP="00640F76"/>
  <w:p w14:paraId="03F961FA" w14:textId="77777777" w:rsidR="008B476E" w:rsidRDefault="008B476E" w:rsidP="00640F76"/>
  <w:p w14:paraId="11305A1D" w14:textId="77777777" w:rsidR="008B476E" w:rsidRDefault="008B476E" w:rsidP="00640F76"/>
  <w:p w14:paraId="06FDB70C" w14:textId="77777777" w:rsidR="008B476E" w:rsidRDefault="008B476E" w:rsidP="00640F76"/>
  <w:p w14:paraId="4E63F6CA" w14:textId="77777777" w:rsidR="008B476E" w:rsidRDefault="008B476E" w:rsidP="00640F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26CD" w14:textId="77777777" w:rsidR="008B476E" w:rsidRPr="00C21AE9" w:rsidRDefault="008B476E" w:rsidP="00A40838">
    <w:pPr>
      <w:pStyle w:val="Header"/>
      <w:tabs>
        <w:tab w:val="clear" w:pos="4680"/>
        <w:tab w:val="clear" w:pos="9360"/>
        <w:tab w:val="left" w:pos="1965"/>
      </w:tabs>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287C" w14:textId="77777777" w:rsidR="008B476E" w:rsidRPr="00C21AE9" w:rsidRDefault="008B476E" w:rsidP="00E24ED3">
    <w:pPr>
      <w:pStyle w:val="Header"/>
      <w:tabs>
        <w:tab w:val="clear" w:pos="4680"/>
      </w:tabs>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540"/>
        </w:tabs>
        <w:ind w:left="540" w:firstLine="0"/>
      </w:pPr>
      <w:rPr>
        <w:rFonts w:hint="default"/>
        <w:position w:val="0"/>
        <w:sz w:val="22"/>
      </w:rPr>
    </w:lvl>
    <w:lvl w:ilvl="1">
      <w:start w:val="1"/>
      <w:numFmt w:val="bullet"/>
      <w:suff w:val="nothing"/>
      <w:lvlText w:val="•"/>
      <w:lvlJc w:val="left"/>
      <w:pPr>
        <w:ind w:left="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 w15:restartNumberingAfterBreak="0">
    <w:nsid w:val="0D400957"/>
    <w:multiLevelType w:val="hybridMultilevel"/>
    <w:tmpl w:val="8F4C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C245A"/>
    <w:multiLevelType w:val="hybridMultilevel"/>
    <w:tmpl w:val="6D4C98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E4129BC"/>
    <w:multiLevelType w:val="hybridMultilevel"/>
    <w:tmpl w:val="88E8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A7C15"/>
    <w:multiLevelType w:val="hybridMultilevel"/>
    <w:tmpl w:val="2C1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13EAE"/>
    <w:multiLevelType w:val="hybridMultilevel"/>
    <w:tmpl w:val="4B5A51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C850C0"/>
    <w:multiLevelType w:val="hybridMultilevel"/>
    <w:tmpl w:val="FB826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01A8D"/>
    <w:multiLevelType w:val="hybridMultilevel"/>
    <w:tmpl w:val="4060182E"/>
    <w:lvl w:ilvl="0" w:tplc="88686D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A52D3"/>
    <w:multiLevelType w:val="hybridMultilevel"/>
    <w:tmpl w:val="39BAF6F0"/>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8"/>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trackedChanges"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64"/>
    <w:rsid w:val="00000C6B"/>
    <w:rsid w:val="00005DBE"/>
    <w:rsid w:val="000062D3"/>
    <w:rsid w:val="0001043A"/>
    <w:rsid w:val="00015926"/>
    <w:rsid w:val="00040912"/>
    <w:rsid w:val="00041171"/>
    <w:rsid w:val="000430F6"/>
    <w:rsid w:val="00046238"/>
    <w:rsid w:val="00055069"/>
    <w:rsid w:val="00056D30"/>
    <w:rsid w:val="00060CA2"/>
    <w:rsid w:val="00066B5F"/>
    <w:rsid w:val="00071C17"/>
    <w:rsid w:val="00075BC3"/>
    <w:rsid w:val="000766A1"/>
    <w:rsid w:val="00084F9D"/>
    <w:rsid w:val="00086DB3"/>
    <w:rsid w:val="00090840"/>
    <w:rsid w:val="00094522"/>
    <w:rsid w:val="0009573F"/>
    <w:rsid w:val="000963EF"/>
    <w:rsid w:val="000A0C22"/>
    <w:rsid w:val="000A2A31"/>
    <w:rsid w:val="000A75FF"/>
    <w:rsid w:val="000B0BBC"/>
    <w:rsid w:val="000B4923"/>
    <w:rsid w:val="000B5819"/>
    <w:rsid w:val="000C2F68"/>
    <w:rsid w:val="000C3FB9"/>
    <w:rsid w:val="000D208E"/>
    <w:rsid w:val="000D2F27"/>
    <w:rsid w:val="000D5DA9"/>
    <w:rsid w:val="000E04FF"/>
    <w:rsid w:val="000E0F5F"/>
    <w:rsid w:val="000E1B98"/>
    <w:rsid w:val="000E767B"/>
    <w:rsid w:val="000F00B9"/>
    <w:rsid w:val="000F4E98"/>
    <w:rsid w:val="000F650C"/>
    <w:rsid w:val="00110987"/>
    <w:rsid w:val="00111751"/>
    <w:rsid w:val="001317FE"/>
    <w:rsid w:val="00133914"/>
    <w:rsid w:val="001470E3"/>
    <w:rsid w:val="00164812"/>
    <w:rsid w:val="00166159"/>
    <w:rsid w:val="00167683"/>
    <w:rsid w:val="0017188F"/>
    <w:rsid w:val="001740B2"/>
    <w:rsid w:val="00175579"/>
    <w:rsid w:val="001772F6"/>
    <w:rsid w:val="0018321D"/>
    <w:rsid w:val="00184ABE"/>
    <w:rsid w:val="001854ED"/>
    <w:rsid w:val="00190604"/>
    <w:rsid w:val="00190896"/>
    <w:rsid w:val="001B05E5"/>
    <w:rsid w:val="001B1654"/>
    <w:rsid w:val="001C1C29"/>
    <w:rsid w:val="001C206E"/>
    <w:rsid w:val="001C618B"/>
    <w:rsid w:val="001C732A"/>
    <w:rsid w:val="001C7518"/>
    <w:rsid w:val="001D1DF2"/>
    <w:rsid w:val="001D6CC0"/>
    <w:rsid w:val="001D7725"/>
    <w:rsid w:val="001E68C0"/>
    <w:rsid w:val="001E6C4D"/>
    <w:rsid w:val="001F0436"/>
    <w:rsid w:val="001F1972"/>
    <w:rsid w:val="001F5BE6"/>
    <w:rsid w:val="00200190"/>
    <w:rsid w:val="00201DED"/>
    <w:rsid w:val="002043F8"/>
    <w:rsid w:val="00215198"/>
    <w:rsid w:val="002156E0"/>
    <w:rsid w:val="0022369D"/>
    <w:rsid w:val="00236C5C"/>
    <w:rsid w:val="00241208"/>
    <w:rsid w:val="00245DC5"/>
    <w:rsid w:val="0025056D"/>
    <w:rsid w:val="002532A5"/>
    <w:rsid w:val="002638DA"/>
    <w:rsid w:val="002734FD"/>
    <w:rsid w:val="00274955"/>
    <w:rsid w:val="002814AA"/>
    <w:rsid w:val="0028510E"/>
    <w:rsid w:val="002859B3"/>
    <w:rsid w:val="002859FC"/>
    <w:rsid w:val="0028622A"/>
    <w:rsid w:val="002A003D"/>
    <w:rsid w:val="002A100E"/>
    <w:rsid w:val="002A1905"/>
    <w:rsid w:val="002A2AA3"/>
    <w:rsid w:val="002A7535"/>
    <w:rsid w:val="002B1AED"/>
    <w:rsid w:val="002B420A"/>
    <w:rsid w:val="002B7598"/>
    <w:rsid w:val="002C035D"/>
    <w:rsid w:val="002C41BD"/>
    <w:rsid w:val="002C57A6"/>
    <w:rsid w:val="002D6492"/>
    <w:rsid w:val="002D6B2D"/>
    <w:rsid w:val="002D7584"/>
    <w:rsid w:val="002E0E58"/>
    <w:rsid w:val="002E257E"/>
    <w:rsid w:val="002F2FF9"/>
    <w:rsid w:val="002F5294"/>
    <w:rsid w:val="00302A23"/>
    <w:rsid w:val="00306DDB"/>
    <w:rsid w:val="003111F5"/>
    <w:rsid w:val="003152DC"/>
    <w:rsid w:val="00316306"/>
    <w:rsid w:val="003174FF"/>
    <w:rsid w:val="00321EAC"/>
    <w:rsid w:val="003246A5"/>
    <w:rsid w:val="00325910"/>
    <w:rsid w:val="00340132"/>
    <w:rsid w:val="0034178D"/>
    <w:rsid w:val="00346BB1"/>
    <w:rsid w:val="00351B3D"/>
    <w:rsid w:val="003618D1"/>
    <w:rsid w:val="00362647"/>
    <w:rsid w:val="00372542"/>
    <w:rsid w:val="00372DA2"/>
    <w:rsid w:val="00387125"/>
    <w:rsid w:val="0039372F"/>
    <w:rsid w:val="003A22F4"/>
    <w:rsid w:val="003A2D06"/>
    <w:rsid w:val="003A532B"/>
    <w:rsid w:val="003A7C23"/>
    <w:rsid w:val="003B5016"/>
    <w:rsid w:val="003C3249"/>
    <w:rsid w:val="003D5195"/>
    <w:rsid w:val="0040236E"/>
    <w:rsid w:val="00402F90"/>
    <w:rsid w:val="00407C84"/>
    <w:rsid w:val="004120B0"/>
    <w:rsid w:val="00423EBA"/>
    <w:rsid w:val="00435691"/>
    <w:rsid w:val="0045585A"/>
    <w:rsid w:val="00461327"/>
    <w:rsid w:val="00461A3D"/>
    <w:rsid w:val="0048438D"/>
    <w:rsid w:val="004956F2"/>
    <w:rsid w:val="00496C9B"/>
    <w:rsid w:val="0049786D"/>
    <w:rsid w:val="004A7873"/>
    <w:rsid w:val="004B3A28"/>
    <w:rsid w:val="004B40C0"/>
    <w:rsid w:val="004C3053"/>
    <w:rsid w:val="004D5730"/>
    <w:rsid w:val="004E3C93"/>
    <w:rsid w:val="004F5FA4"/>
    <w:rsid w:val="004F7885"/>
    <w:rsid w:val="004F7B2D"/>
    <w:rsid w:val="0050231A"/>
    <w:rsid w:val="00502F90"/>
    <w:rsid w:val="0050424A"/>
    <w:rsid w:val="005071EB"/>
    <w:rsid w:val="00517B2D"/>
    <w:rsid w:val="00526EBA"/>
    <w:rsid w:val="00532B68"/>
    <w:rsid w:val="00534E34"/>
    <w:rsid w:val="00540B82"/>
    <w:rsid w:val="00542A9F"/>
    <w:rsid w:val="00542CFA"/>
    <w:rsid w:val="005547CC"/>
    <w:rsid w:val="005550BA"/>
    <w:rsid w:val="00556578"/>
    <w:rsid w:val="005611D2"/>
    <w:rsid w:val="00561A10"/>
    <w:rsid w:val="00562F93"/>
    <w:rsid w:val="00565F04"/>
    <w:rsid w:val="00577831"/>
    <w:rsid w:val="005A1B59"/>
    <w:rsid w:val="005B0B29"/>
    <w:rsid w:val="005B476A"/>
    <w:rsid w:val="005C5AD2"/>
    <w:rsid w:val="005C6A6C"/>
    <w:rsid w:val="005D015D"/>
    <w:rsid w:val="005F12EC"/>
    <w:rsid w:val="005F5557"/>
    <w:rsid w:val="006000B4"/>
    <w:rsid w:val="00600489"/>
    <w:rsid w:val="00600A80"/>
    <w:rsid w:val="00601B73"/>
    <w:rsid w:val="006026E4"/>
    <w:rsid w:val="00610346"/>
    <w:rsid w:val="006114F5"/>
    <w:rsid w:val="00612DD5"/>
    <w:rsid w:val="00613541"/>
    <w:rsid w:val="00624644"/>
    <w:rsid w:val="00640F76"/>
    <w:rsid w:val="00645721"/>
    <w:rsid w:val="00646EA7"/>
    <w:rsid w:val="00647D79"/>
    <w:rsid w:val="00653C9B"/>
    <w:rsid w:val="00667508"/>
    <w:rsid w:val="00673177"/>
    <w:rsid w:val="0067422C"/>
    <w:rsid w:val="0067724F"/>
    <w:rsid w:val="0068264E"/>
    <w:rsid w:val="00691C4B"/>
    <w:rsid w:val="006A7135"/>
    <w:rsid w:val="006B2C4E"/>
    <w:rsid w:val="006B79C5"/>
    <w:rsid w:val="006B7F6A"/>
    <w:rsid w:val="006C0E5B"/>
    <w:rsid w:val="006C3359"/>
    <w:rsid w:val="006D1C55"/>
    <w:rsid w:val="006D4F85"/>
    <w:rsid w:val="006D5092"/>
    <w:rsid w:val="006D7311"/>
    <w:rsid w:val="006E129D"/>
    <w:rsid w:val="006E1F14"/>
    <w:rsid w:val="006F0A29"/>
    <w:rsid w:val="006F4963"/>
    <w:rsid w:val="00700B15"/>
    <w:rsid w:val="00704A15"/>
    <w:rsid w:val="007127EB"/>
    <w:rsid w:val="00721C8C"/>
    <w:rsid w:val="00722A30"/>
    <w:rsid w:val="00723985"/>
    <w:rsid w:val="00727FD7"/>
    <w:rsid w:val="00730EC4"/>
    <w:rsid w:val="00744356"/>
    <w:rsid w:val="007450B6"/>
    <w:rsid w:val="00757F50"/>
    <w:rsid w:val="00761608"/>
    <w:rsid w:val="00763ED1"/>
    <w:rsid w:val="00771B94"/>
    <w:rsid w:val="00776BAF"/>
    <w:rsid w:val="00784AE0"/>
    <w:rsid w:val="007A1F2A"/>
    <w:rsid w:val="007B6218"/>
    <w:rsid w:val="007B7F25"/>
    <w:rsid w:val="007C3D88"/>
    <w:rsid w:val="007C3FCD"/>
    <w:rsid w:val="007C43CC"/>
    <w:rsid w:val="007C60D1"/>
    <w:rsid w:val="007C6419"/>
    <w:rsid w:val="007D2CBD"/>
    <w:rsid w:val="007E4A59"/>
    <w:rsid w:val="007E5596"/>
    <w:rsid w:val="007F00A4"/>
    <w:rsid w:val="007F07A8"/>
    <w:rsid w:val="007F142A"/>
    <w:rsid w:val="007F15CE"/>
    <w:rsid w:val="007F4723"/>
    <w:rsid w:val="00800620"/>
    <w:rsid w:val="00802EE1"/>
    <w:rsid w:val="00810D7E"/>
    <w:rsid w:val="008205A3"/>
    <w:rsid w:val="00823FCF"/>
    <w:rsid w:val="00827607"/>
    <w:rsid w:val="00831701"/>
    <w:rsid w:val="00832FC0"/>
    <w:rsid w:val="00836442"/>
    <w:rsid w:val="00837523"/>
    <w:rsid w:val="0084079C"/>
    <w:rsid w:val="008408E2"/>
    <w:rsid w:val="00840A2C"/>
    <w:rsid w:val="00844FEF"/>
    <w:rsid w:val="0086162B"/>
    <w:rsid w:val="008616D8"/>
    <w:rsid w:val="00861861"/>
    <w:rsid w:val="00863330"/>
    <w:rsid w:val="00875E64"/>
    <w:rsid w:val="00876D3A"/>
    <w:rsid w:val="00880273"/>
    <w:rsid w:val="00881E4D"/>
    <w:rsid w:val="00883D10"/>
    <w:rsid w:val="008867A6"/>
    <w:rsid w:val="0088739E"/>
    <w:rsid w:val="0089429F"/>
    <w:rsid w:val="008953FD"/>
    <w:rsid w:val="008A1C84"/>
    <w:rsid w:val="008A5DEF"/>
    <w:rsid w:val="008B329A"/>
    <w:rsid w:val="008B476E"/>
    <w:rsid w:val="008C3802"/>
    <w:rsid w:val="008E2309"/>
    <w:rsid w:val="008E623A"/>
    <w:rsid w:val="008E6DFB"/>
    <w:rsid w:val="00903613"/>
    <w:rsid w:val="0090373E"/>
    <w:rsid w:val="009048FA"/>
    <w:rsid w:val="00920BB2"/>
    <w:rsid w:val="00932FF2"/>
    <w:rsid w:val="009356D7"/>
    <w:rsid w:val="00936D3A"/>
    <w:rsid w:val="009447CA"/>
    <w:rsid w:val="009538A4"/>
    <w:rsid w:val="009541D0"/>
    <w:rsid w:val="0096355A"/>
    <w:rsid w:val="00963D76"/>
    <w:rsid w:val="0096550B"/>
    <w:rsid w:val="009727DB"/>
    <w:rsid w:val="0098290E"/>
    <w:rsid w:val="009852C2"/>
    <w:rsid w:val="009915B9"/>
    <w:rsid w:val="00995EE8"/>
    <w:rsid w:val="009A4750"/>
    <w:rsid w:val="009A7CC2"/>
    <w:rsid w:val="009B475D"/>
    <w:rsid w:val="009C77A3"/>
    <w:rsid w:val="009C7F35"/>
    <w:rsid w:val="009D0E30"/>
    <w:rsid w:val="009D553B"/>
    <w:rsid w:val="009D55AE"/>
    <w:rsid w:val="009D6476"/>
    <w:rsid w:val="009F4441"/>
    <w:rsid w:val="00A00D23"/>
    <w:rsid w:val="00A2050D"/>
    <w:rsid w:val="00A317AA"/>
    <w:rsid w:val="00A40838"/>
    <w:rsid w:val="00A46142"/>
    <w:rsid w:val="00A53FB0"/>
    <w:rsid w:val="00A55768"/>
    <w:rsid w:val="00A61A1E"/>
    <w:rsid w:val="00A66EDA"/>
    <w:rsid w:val="00A768D7"/>
    <w:rsid w:val="00A833B6"/>
    <w:rsid w:val="00A83D2A"/>
    <w:rsid w:val="00A900C8"/>
    <w:rsid w:val="00A9157C"/>
    <w:rsid w:val="00A9398C"/>
    <w:rsid w:val="00AA1C23"/>
    <w:rsid w:val="00AA59B5"/>
    <w:rsid w:val="00AA5A42"/>
    <w:rsid w:val="00AB0B90"/>
    <w:rsid w:val="00AB51CF"/>
    <w:rsid w:val="00AD06CD"/>
    <w:rsid w:val="00AD16A5"/>
    <w:rsid w:val="00AD21F8"/>
    <w:rsid w:val="00AE0E43"/>
    <w:rsid w:val="00AE3B05"/>
    <w:rsid w:val="00AE6DFC"/>
    <w:rsid w:val="00B038D2"/>
    <w:rsid w:val="00B06EE9"/>
    <w:rsid w:val="00B130DF"/>
    <w:rsid w:val="00B14A4A"/>
    <w:rsid w:val="00B246CD"/>
    <w:rsid w:val="00B252AA"/>
    <w:rsid w:val="00B26A64"/>
    <w:rsid w:val="00B3417B"/>
    <w:rsid w:val="00B377B3"/>
    <w:rsid w:val="00B404E3"/>
    <w:rsid w:val="00B471A2"/>
    <w:rsid w:val="00B47C5C"/>
    <w:rsid w:val="00B541BD"/>
    <w:rsid w:val="00B55935"/>
    <w:rsid w:val="00B66FCB"/>
    <w:rsid w:val="00B746C2"/>
    <w:rsid w:val="00B75589"/>
    <w:rsid w:val="00B807D5"/>
    <w:rsid w:val="00B8119D"/>
    <w:rsid w:val="00B81798"/>
    <w:rsid w:val="00B85146"/>
    <w:rsid w:val="00B9078A"/>
    <w:rsid w:val="00BA008E"/>
    <w:rsid w:val="00BA0A6E"/>
    <w:rsid w:val="00BA71A7"/>
    <w:rsid w:val="00BB5475"/>
    <w:rsid w:val="00BB734F"/>
    <w:rsid w:val="00BC5230"/>
    <w:rsid w:val="00BC7409"/>
    <w:rsid w:val="00BD01B4"/>
    <w:rsid w:val="00BF62AF"/>
    <w:rsid w:val="00C03BCB"/>
    <w:rsid w:val="00C1094B"/>
    <w:rsid w:val="00C12FDB"/>
    <w:rsid w:val="00C159E5"/>
    <w:rsid w:val="00C210E9"/>
    <w:rsid w:val="00C21AE9"/>
    <w:rsid w:val="00C33D23"/>
    <w:rsid w:val="00C45324"/>
    <w:rsid w:val="00C47B27"/>
    <w:rsid w:val="00C63914"/>
    <w:rsid w:val="00C7588B"/>
    <w:rsid w:val="00C85BCC"/>
    <w:rsid w:val="00C86EBD"/>
    <w:rsid w:val="00C87681"/>
    <w:rsid w:val="00C91F07"/>
    <w:rsid w:val="00C97584"/>
    <w:rsid w:val="00CA0A5E"/>
    <w:rsid w:val="00CA1BA3"/>
    <w:rsid w:val="00CA1E08"/>
    <w:rsid w:val="00CA51FC"/>
    <w:rsid w:val="00CB5A46"/>
    <w:rsid w:val="00CC16AA"/>
    <w:rsid w:val="00CE1C2A"/>
    <w:rsid w:val="00CF3BB3"/>
    <w:rsid w:val="00D012BA"/>
    <w:rsid w:val="00D02877"/>
    <w:rsid w:val="00D12807"/>
    <w:rsid w:val="00D22368"/>
    <w:rsid w:val="00D27109"/>
    <w:rsid w:val="00D302EC"/>
    <w:rsid w:val="00D370C0"/>
    <w:rsid w:val="00D40390"/>
    <w:rsid w:val="00D4106F"/>
    <w:rsid w:val="00D51FDE"/>
    <w:rsid w:val="00D5216C"/>
    <w:rsid w:val="00D57885"/>
    <w:rsid w:val="00D810E2"/>
    <w:rsid w:val="00D8282D"/>
    <w:rsid w:val="00D85E51"/>
    <w:rsid w:val="00D8657A"/>
    <w:rsid w:val="00D958AB"/>
    <w:rsid w:val="00D96670"/>
    <w:rsid w:val="00DA2ACD"/>
    <w:rsid w:val="00DA31C7"/>
    <w:rsid w:val="00DC4418"/>
    <w:rsid w:val="00DC5242"/>
    <w:rsid w:val="00DD32B5"/>
    <w:rsid w:val="00DE3ABB"/>
    <w:rsid w:val="00DF1BAD"/>
    <w:rsid w:val="00E00A4E"/>
    <w:rsid w:val="00E048BE"/>
    <w:rsid w:val="00E057EC"/>
    <w:rsid w:val="00E23AD7"/>
    <w:rsid w:val="00E24DE6"/>
    <w:rsid w:val="00E24ED3"/>
    <w:rsid w:val="00E259A6"/>
    <w:rsid w:val="00E25E96"/>
    <w:rsid w:val="00E264FE"/>
    <w:rsid w:val="00E27E3F"/>
    <w:rsid w:val="00E31875"/>
    <w:rsid w:val="00E31B4C"/>
    <w:rsid w:val="00E36CEB"/>
    <w:rsid w:val="00E539B1"/>
    <w:rsid w:val="00E602F0"/>
    <w:rsid w:val="00E70F88"/>
    <w:rsid w:val="00E71930"/>
    <w:rsid w:val="00E7264C"/>
    <w:rsid w:val="00E847FA"/>
    <w:rsid w:val="00E853F9"/>
    <w:rsid w:val="00E93113"/>
    <w:rsid w:val="00E93CC4"/>
    <w:rsid w:val="00E94893"/>
    <w:rsid w:val="00E96AF2"/>
    <w:rsid w:val="00EA6D84"/>
    <w:rsid w:val="00EB092A"/>
    <w:rsid w:val="00EB0E8E"/>
    <w:rsid w:val="00EC05DA"/>
    <w:rsid w:val="00EC48D8"/>
    <w:rsid w:val="00ED4FD3"/>
    <w:rsid w:val="00EE1629"/>
    <w:rsid w:val="00EE33A8"/>
    <w:rsid w:val="00EE4356"/>
    <w:rsid w:val="00EE6927"/>
    <w:rsid w:val="00EE6DA1"/>
    <w:rsid w:val="00EE7ED3"/>
    <w:rsid w:val="00EF0097"/>
    <w:rsid w:val="00EF183D"/>
    <w:rsid w:val="00EF19BA"/>
    <w:rsid w:val="00F00A4C"/>
    <w:rsid w:val="00F010B5"/>
    <w:rsid w:val="00F0128C"/>
    <w:rsid w:val="00F040C4"/>
    <w:rsid w:val="00F11B7A"/>
    <w:rsid w:val="00F12808"/>
    <w:rsid w:val="00F12958"/>
    <w:rsid w:val="00F17750"/>
    <w:rsid w:val="00F20BE8"/>
    <w:rsid w:val="00F23186"/>
    <w:rsid w:val="00F24EA7"/>
    <w:rsid w:val="00F300A7"/>
    <w:rsid w:val="00F3031F"/>
    <w:rsid w:val="00F32FBB"/>
    <w:rsid w:val="00F36086"/>
    <w:rsid w:val="00F400D3"/>
    <w:rsid w:val="00F41F10"/>
    <w:rsid w:val="00F42FFC"/>
    <w:rsid w:val="00F45A1F"/>
    <w:rsid w:val="00F46A37"/>
    <w:rsid w:val="00F6439B"/>
    <w:rsid w:val="00F67900"/>
    <w:rsid w:val="00F67A5A"/>
    <w:rsid w:val="00F72FD4"/>
    <w:rsid w:val="00F80CFF"/>
    <w:rsid w:val="00F857D6"/>
    <w:rsid w:val="00F87B3F"/>
    <w:rsid w:val="00F927FE"/>
    <w:rsid w:val="00F93106"/>
    <w:rsid w:val="00F93600"/>
    <w:rsid w:val="00F95A59"/>
    <w:rsid w:val="00F9678F"/>
    <w:rsid w:val="00F97B5D"/>
    <w:rsid w:val="00FA2257"/>
    <w:rsid w:val="00FB3AAB"/>
    <w:rsid w:val="00FB5188"/>
    <w:rsid w:val="00FB6B3A"/>
    <w:rsid w:val="00FC2B06"/>
    <w:rsid w:val="00FC70A7"/>
    <w:rsid w:val="00FE135F"/>
    <w:rsid w:val="00FE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13010A14"/>
  <w15:docId w15:val="{FDC8B1A2-CCF9-4432-9409-F9AEF7F3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paragraph" w:styleId="Heading1">
    <w:name w:val="heading 1"/>
    <w:basedOn w:val="Normal"/>
    <w:next w:val="Normal"/>
    <w:link w:val="Heading1Char"/>
    <w:qFormat/>
    <w:locked/>
    <w:rsid w:val="008C38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nhideWhenUsed/>
    <w:qFormat/>
    <w:locked/>
    <w:rsid w:val="00B252A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ootnoteText1">
    <w:name w:val="Footnote Text1"/>
    <w:rPr>
      <w:rFonts w:ascii="Helvetica" w:eastAsia="ヒラギノ角ゴ Pro W3" w:hAnsi="Helvetica"/>
      <w:color w:val="000000"/>
    </w:rPr>
  </w:style>
  <w:style w:type="paragraph" w:customStyle="1" w:styleId="FreeFormAA">
    <w:name w:val="Free Form A A"/>
    <w:rPr>
      <w:rFonts w:ascii="Lucida Grande" w:eastAsia="ヒラギノ角ゴ Pro W3" w:hAnsi="Lucida Grande"/>
      <w:color w:val="000000"/>
    </w:rPr>
  </w:style>
  <w:style w:type="paragraph" w:customStyle="1" w:styleId="FootnoteText2">
    <w:name w:val="Footnote Text2"/>
    <w:rPr>
      <w:rFonts w:ascii="Helvetica" w:eastAsia="ヒラギノ角ゴ Pro W3" w:hAnsi="Helvetica"/>
      <w:color w:val="000000"/>
    </w:rPr>
  </w:style>
  <w:style w:type="character" w:customStyle="1" w:styleId="Hyperlink1">
    <w:name w:val="Hyperlink1"/>
    <w:rPr>
      <w:color w:val="001BFF"/>
      <w:sz w:val="20"/>
      <w:u w:val="single"/>
    </w:rPr>
  </w:style>
  <w:style w:type="table" w:styleId="LightList-Accent2">
    <w:name w:val="Light List Accent 2"/>
    <w:basedOn w:val="TableNormal"/>
    <w:uiPriority w:val="61"/>
    <w:rsid w:val="00184AB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Header">
    <w:name w:val="header"/>
    <w:basedOn w:val="Normal"/>
    <w:link w:val="HeaderChar"/>
    <w:locked/>
    <w:rsid w:val="00D40390"/>
    <w:pPr>
      <w:tabs>
        <w:tab w:val="center" w:pos="4680"/>
        <w:tab w:val="right" w:pos="9360"/>
      </w:tabs>
    </w:pPr>
  </w:style>
  <w:style w:type="character" w:customStyle="1" w:styleId="HeaderChar">
    <w:name w:val="Header Char"/>
    <w:basedOn w:val="DefaultParagraphFont"/>
    <w:link w:val="Header"/>
    <w:rsid w:val="00D40390"/>
    <w:rPr>
      <w:rFonts w:ascii="Lucida Grande" w:eastAsia="ヒラギノ角ゴ Pro W3" w:hAnsi="Lucida Grande"/>
      <w:color w:val="000000"/>
      <w:sz w:val="22"/>
      <w:szCs w:val="24"/>
    </w:rPr>
  </w:style>
  <w:style w:type="paragraph" w:styleId="Footer">
    <w:name w:val="footer"/>
    <w:basedOn w:val="Normal"/>
    <w:link w:val="FooterChar"/>
    <w:uiPriority w:val="99"/>
    <w:locked/>
    <w:rsid w:val="00D40390"/>
    <w:pPr>
      <w:tabs>
        <w:tab w:val="center" w:pos="4680"/>
        <w:tab w:val="right" w:pos="9360"/>
      </w:tabs>
    </w:pPr>
  </w:style>
  <w:style w:type="character" w:customStyle="1" w:styleId="FooterChar">
    <w:name w:val="Footer Char"/>
    <w:basedOn w:val="DefaultParagraphFont"/>
    <w:link w:val="Footer"/>
    <w:uiPriority w:val="99"/>
    <w:rsid w:val="00D40390"/>
    <w:rPr>
      <w:rFonts w:ascii="Lucida Grande" w:eastAsia="ヒラギノ角ゴ Pro W3" w:hAnsi="Lucida Grande"/>
      <w:color w:val="000000"/>
      <w:sz w:val="22"/>
      <w:szCs w:val="24"/>
    </w:rPr>
  </w:style>
  <w:style w:type="paragraph" w:styleId="DocumentMap">
    <w:name w:val="Document Map"/>
    <w:basedOn w:val="Normal"/>
    <w:link w:val="DocumentMapChar"/>
    <w:locked/>
    <w:rsid w:val="00D40390"/>
    <w:rPr>
      <w:rFonts w:ascii="Tahoma" w:hAnsi="Tahoma" w:cs="Tahoma"/>
      <w:sz w:val="16"/>
      <w:szCs w:val="16"/>
    </w:rPr>
  </w:style>
  <w:style w:type="character" w:customStyle="1" w:styleId="DocumentMapChar">
    <w:name w:val="Document Map Char"/>
    <w:basedOn w:val="DefaultParagraphFont"/>
    <w:link w:val="DocumentMap"/>
    <w:rsid w:val="00D40390"/>
    <w:rPr>
      <w:rFonts w:ascii="Tahoma" w:eastAsia="ヒラギノ角ゴ Pro W3" w:hAnsi="Tahoma" w:cs="Tahoma"/>
      <w:color w:val="000000"/>
      <w:sz w:val="16"/>
      <w:szCs w:val="16"/>
    </w:rPr>
  </w:style>
  <w:style w:type="paragraph" w:styleId="BalloonText">
    <w:name w:val="Balloon Text"/>
    <w:basedOn w:val="Normal"/>
    <w:link w:val="BalloonTextChar"/>
    <w:locked/>
    <w:rsid w:val="0084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44FEF"/>
    <w:rPr>
      <w:rFonts w:ascii="Tahoma" w:eastAsia="ヒラギノ角ゴ Pro W3" w:hAnsi="Tahoma" w:cs="Tahoma"/>
      <w:color w:val="000000"/>
      <w:sz w:val="16"/>
      <w:szCs w:val="16"/>
    </w:rPr>
  </w:style>
  <w:style w:type="character" w:styleId="PlaceholderText">
    <w:name w:val="Placeholder Text"/>
    <w:basedOn w:val="DefaultParagraphFont"/>
    <w:uiPriority w:val="99"/>
    <w:semiHidden/>
    <w:rsid w:val="00844FEF"/>
    <w:rPr>
      <w:color w:val="808080"/>
    </w:rPr>
  </w:style>
  <w:style w:type="table" w:styleId="TableGrid">
    <w:name w:val="Table Grid"/>
    <w:basedOn w:val="TableNormal"/>
    <w:locked/>
    <w:rsid w:val="0005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2257"/>
    <w:pPr>
      <w:ind w:left="720"/>
      <w:contextualSpacing/>
    </w:pPr>
  </w:style>
  <w:style w:type="table" w:styleId="MediumShading1-Accent3">
    <w:name w:val="Medium Shading 1 Accent 3"/>
    <w:basedOn w:val="TableNormal"/>
    <w:uiPriority w:val="63"/>
    <w:rsid w:val="000A75F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A75F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A75F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A75F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A75F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locked/>
    <w:rsid w:val="00A55768"/>
    <w:rPr>
      <w:color w:val="0000FF" w:themeColor="hyperlink"/>
      <w:u w:val="single"/>
    </w:rPr>
  </w:style>
  <w:style w:type="paragraph" w:styleId="FootnoteText">
    <w:name w:val="footnote text"/>
    <w:basedOn w:val="Normal"/>
    <w:link w:val="FootnoteTextChar"/>
    <w:locked/>
    <w:rsid w:val="00A55768"/>
    <w:pPr>
      <w:spacing w:after="0" w:line="240" w:lineRule="auto"/>
    </w:pPr>
    <w:rPr>
      <w:sz w:val="20"/>
      <w:szCs w:val="20"/>
    </w:rPr>
  </w:style>
  <w:style w:type="character" w:customStyle="1" w:styleId="FootnoteTextChar">
    <w:name w:val="Footnote Text Char"/>
    <w:basedOn w:val="DefaultParagraphFont"/>
    <w:link w:val="FootnoteText"/>
    <w:rsid w:val="00A55768"/>
    <w:rPr>
      <w:rFonts w:ascii="Lucida Grande" w:eastAsia="ヒラギノ角ゴ Pro W3" w:hAnsi="Lucida Grande"/>
      <w:color w:val="000000"/>
    </w:rPr>
  </w:style>
  <w:style w:type="character" w:styleId="FootnoteReference">
    <w:name w:val="footnote reference"/>
    <w:basedOn w:val="DefaultParagraphFont"/>
    <w:locked/>
    <w:rsid w:val="00A55768"/>
    <w:rPr>
      <w:vertAlign w:val="superscript"/>
    </w:rPr>
  </w:style>
  <w:style w:type="character" w:customStyle="1" w:styleId="SubtextNoteChar">
    <w:name w:val="Subtext Note Char"/>
    <w:link w:val="SubtextNote"/>
    <w:locked/>
    <w:rsid w:val="0090373E"/>
    <w:rPr>
      <w:rFonts w:ascii="Arial" w:eastAsia="ヒラギノ角ゴ Pro W3" w:hAnsi="Arial" w:cs="Arial"/>
      <w:i/>
      <w:sz w:val="16"/>
      <w:szCs w:val="24"/>
    </w:rPr>
  </w:style>
  <w:style w:type="paragraph" w:customStyle="1" w:styleId="SubtextNote">
    <w:name w:val="Subtext Note"/>
    <w:basedOn w:val="Normal"/>
    <w:link w:val="SubtextNoteChar"/>
    <w:autoRedefine/>
    <w:qFormat/>
    <w:rsid w:val="0090373E"/>
    <w:pPr>
      <w:spacing w:before="120" w:after="0"/>
    </w:pPr>
    <w:rPr>
      <w:rFonts w:ascii="Arial" w:hAnsi="Arial" w:cs="Arial"/>
      <w:i/>
      <w:color w:val="auto"/>
      <w:sz w:val="16"/>
    </w:rPr>
  </w:style>
  <w:style w:type="table" w:styleId="LightShading-Accent3">
    <w:name w:val="Light Shading Accent 3"/>
    <w:basedOn w:val="TableNormal"/>
    <w:uiPriority w:val="60"/>
    <w:rsid w:val="002814A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locked/>
    <w:rsid w:val="00645721"/>
    <w:rPr>
      <w:sz w:val="16"/>
      <w:szCs w:val="16"/>
    </w:rPr>
  </w:style>
  <w:style w:type="paragraph" w:styleId="CommentText">
    <w:name w:val="annotation text"/>
    <w:basedOn w:val="Normal"/>
    <w:link w:val="CommentTextChar"/>
    <w:locked/>
    <w:rsid w:val="00645721"/>
    <w:pPr>
      <w:spacing w:line="240" w:lineRule="auto"/>
    </w:pPr>
    <w:rPr>
      <w:sz w:val="20"/>
      <w:szCs w:val="20"/>
    </w:rPr>
  </w:style>
  <w:style w:type="character" w:customStyle="1" w:styleId="CommentTextChar">
    <w:name w:val="Comment Text Char"/>
    <w:basedOn w:val="DefaultParagraphFont"/>
    <w:link w:val="CommentText"/>
    <w:rsid w:val="00645721"/>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A46142"/>
    <w:rPr>
      <w:b/>
      <w:bCs/>
    </w:rPr>
  </w:style>
  <w:style w:type="character" w:customStyle="1" w:styleId="CommentSubjectChar">
    <w:name w:val="Comment Subject Char"/>
    <w:basedOn w:val="CommentTextChar"/>
    <w:link w:val="CommentSubject"/>
    <w:rsid w:val="00A46142"/>
    <w:rPr>
      <w:rFonts w:ascii="Lucida Grande" w:eastAsia="ヒラギノ角ゴ Pro W3" w:hAnsi="Lucida Grande"/>
      <w:b/>
      <w:bCs/>
      <w:color w:val="000000"/>
    </w:rPr>
  </w:style>
  <w:style w:type="character" w:customStyle="1" w:styleId="ListParagraphChar">
    <w:name w:val="List Paragraph Char"/>
    <w:basedOn w:val="DefaultParagraphFont"/>
    <w:link w:val="ListParagraph"/>
    <w:uiPriority w:val="34"/>
    <w:rsid w:val="00610346"/>
    <w:rPr>
      <w:rFonts w:ascii="Lucida Grande" w:eastAsia="ヒラギノ角ゴ Pro W3" w:hAnsi="Lucida Grande"/>
      <w:color w:val="000000"/>
      <w:sz w:val="22"/>
      <w:szCs w:val="24"/>
    </w:rPr>
  </w:style>
  <w:style w:type="paragraph" w:styleId="NoSpacing">
    <w:name w:val="No Spacing"/>
    <w:link w:val="NoSpacingChar"/>
    <w:uiPriority w:val="1"/>
    <w:qFormat/>
    <w:rsid w:val="00600489"/>
    <w:rPr>
      <w:rFonts w:ascii="Arial" w:eastAsia="ヒラギノ角ゴ Pro W3" w:hAnsi="Arial"/>
      <w:color w:val="000000"/>
      <w:sz w:val="24"/>
    </w:rPr>
  </w:style>
  <w:style w:type="character" w:customStyle="1" w:styleId="NoSpacingChar">
    <w:name w:val="No Spacing Char"/>
    <w:basedOn w:val="DefaultParagraphFont"/>
    <w:link w:val="NoSpacing"/>
    <w:uiPriority w:val="1"/>
    <w:rsid w:val="00600489"/>
    <w:rPr>
      <w:rFonts w:ascii="Arial" w:eastAsia="ヒラギノ角ゴ Pro W3" w:hAnsi="Arial"/>
      <w:color w:val="000000"/>
      <w:sz w:val="24"/>
    </w:rPr>
  </w:style>
  <w:style w:type="paragraph" w:styleId="TOC1">
    <w:name w:val="toc 1"/>
    <w:basedOn w:val="Normal"/>
    <w:next w:val="Normal"/>
    <w:autoRedefine/>
    <w:uiPriority w:val="39"/>
    <w:locked/>
    <w:rsid w:val="00E264FE"/>
    <w:pPr>
      <w:tabs>
        <w:tab w:val="right" w:leader="dot" w:pos="9350"/>
      </w:tabs>
      <w:spacing w:after="100"/>
      <w:ind w:left="540" w:hanging="540"/>
    </w:pPr>
  </w:style>
  <w:style w:type="character" w:customStyle="1" w:styleId="Heading1Char">
    <w:name w:val="Heading 1 Char"/>
    <w:basedOn w:val="DefaultParagraphFont"/>
    <w:link w:val="Heading1"/>
    <w:rsid w:val="008C3802"/>
    <w:rPr>
      <w:rFonts w:asciiTheme="majorHAnsi" w:eastAsiaTheme="majorEastAsia" w:hAnsiTheme="majorHAnsi" w:cstheme="majorBidi"/>
      <w:b/>
      <w:bCs/>
      <w:color w:val="365F91" w:themeColor="accent1" w:themeShade="BF"/>
      <w:sz w:val="28"/>
      <w:szCs w:val="28"/>
    </w:rPr>
  </w:style>
  <w:style w:type="table" w:styleId="LightShading-Accent1">
    <w:name w:val="Light Shading Accent 1"/>
    <w:basedOn w:val="TableNormal"/>
    <w:uiPriority w:val="60"/>
    <w:rsid w:val="00691C4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6Char">
    <w:name w:val="Heading 6 Char"/>
    <w:basedOn w:val="DefaultParagraphFont"/>
    <w:link w:val="Heading6"/>
    <w:rsid w:val="00B252AA"/>
    <w:rPr>
      <w:rFonts w:asciiTheme="majorHAnsi" w:eastAsiaTheme="majorEastAsia" w:hAnsiTheme="majorHAnsi" w:cstheme="majorBidi"/>
      <w:i/>
      <w:iCs/>
      <w:color w:val="243F60" w:themeColor="accent1" w:themeShade="7F"/>
      <w:sz w:val="22"/>
      <w:szCs w:val="24"/>
    </w:rPr>
  </w:style>
  <w:style w:type="paragraph" w:styleId="BodyText2">
    <w:name w:val="Body Text 2"/>
    <w:basedOn w:val="Normal"/>
    <w:link w:val="BodyText2Char"/>
    <w:locked/>
    <w:rsid w:val="00B252AA"/>
    <w:pPr>
      <w:spacing w:after="0" w:line="240" w:lineRule="auto"/>
      <w:jc w:val="both"/>
    </w:pPr>
    <w:rPr>
      <w:rFonts w:ascii="Times New Roman" w:eastAsia="Times New Roman" w:hAnsi="Times New Roman"/>
      <w:color w:val="auto"/>
      <w:sz w:val="24"/>
    </w:rPr>
  </w:style>
  <w:style w:type="character" w:customStyle="1" w:styleId="BodyText2Char">
    <w:name w:val="Body Text 2 Char"/>
    <w:basedOn w:val="DefaultParagraphFont"/>
    <w:link w:val="BodyText2"/>
    <w:rsid w:val="00B252AA"/>
    <w:rPr>
      <w:sz w:val="24"/>
      <w:szCs w:val="24"/>
    </w:rPr>
  </w:style>
  <w:style w:type="table" w:styleId="LightGrid-Accent1">
    <w:name w:val="Light Grid Accent 1"/>
    <w:basedOn w:val="TableNormal"/>
    <w:uiPriority w:val="62"/>
    <w:rsid w:val="009048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Indent">
    <w:name w:val="Body Text Indent"/>
    <w:basedOn w:val="Normal"/>
    <w:link w:val="BodyTextIndentChar"/>
    <w:locked/>
    <w:rsid w:val="003A532B"/>
    <w:pPr>
      <w:spacing w:after="120"/>
      <w:ind w:left="360"/>
    </w:pPr>
  </w:style>
  <w:style w:type="character" w:customStyle="1" w:styleId="BodyTextIndentChar">
    <w:name w:val="Body Text Indent Char"/>
    <w:basedOn w:val="DefaultParagraphFont"/>
    <w:link w:val="BodyTextIndent"/>
    <w:rsid w:val="003A532B"/>
    <w:rPr>
      <w:rFonts w:ascii="Lucida Grande" w:eastAsia="ヒラギノ角ゴ Pro W3" w:hAnsi="Lucida Grande"/>
      <w:color w:val="000000"/>
      <w:sz w:val="22"/>
      <w:szCs w:val="24"/>
    </w:rPr>
  </w:style>
  <w:style w:type="character" w:styleId="FollowedHyperlink">
    <w:name w:val="FollowedHyperlink"/>
    <w:basedOn w:val="DefaultParagraphFont"/>
    <w:locked/>
    <w:rsid w:val="0098290E"/>
    <w:rPr>
      <w:color w:val="800080" w:themeColor="followedHyperlink"/>
      <w:u w:val="single"/>
    </w:rPr>
  </w:style>
  <w:style w:type="character" w:styleId="UnresolvedMention">
    <w:name w:val="Unresolved Mention"/>
    <w:basedOn w:val="DefaultParagraphFont"/>
    <w:uiPriority w:val="99"/>
    <w:semiHidden/>
    <w:unhideWhenUsed/>
    <w:rsid w:val="00561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4176">
      <w:bodyDiv w:val="1"/>
      <w:marLeft w:val="0"/>
      <w:marRight w:val="0"/>
      <w:marTop w:val="0"/>
      <w:marBottom w:val="0"/>
      <w:divBdr>
        <w:top w:val="none" w:sz="0" w:space="0" w:color="auto"/>
        <w:left w:val="none" w:sz="0" w:space="0" w:color="auto"/>
        <w:bottom w:val="none" w:sz="0" w:space="0" w:color="auto"/>
        <w:right w:val="none" w:sz="0" w:space="0" w:color="auto"/>
      </w:divBdr>
    </w:div>
    <w:div w:id="75522085">
      <w:bodyDiv w:val="1"/>
      <w:marLeft w:val="0"/>
      <w:marRight w:val="0"/>
      <w:marTop w:val="0"/>
      <w:marBottom w:val="0"/>
      <w:divBdr>
        <w:top w:val="none" w:sz="0" w:space="0" w:color="auto"/>
        <w:left w:val="none" w:sz="0" w:space="0" w:color="auto"/>
        <w:bottom w:val="none" w:sz="0" w:space="0" w:color="auto"/>
        <w:right w:val="none" w:sz="0" w:space="0" w:color="auto"/>
      </w:divBdr>
    </w:div>
    <w:div w:id="190730986">
      <w:bodyDiv w:val="1"/>
      <w:marLeft w:val="0"/>
      <w:marRight w:val="0"/>
      <w:marTop w:val="0"/>
      <w:marBottom w:val="0"/>
      <w:divBdr>
        <w:top w:val="none" w:sz="0" w:space="0" w:color="auto"/>
        <w:left w:val="none" w:sz="0" w:space="0" w:color="auto"/>
        <w:bottom w:val="none" w:sz="0" w:space="0" w:color="auto"/>
        <w:right w:val="none" w:sz="0" w:space="0" w:color="auto"/>
      </w:divBdr>
    </w:div>
    <w:div w:id="194542189">
      <w:bodyDiv w:val="1"/>
      <w:marLeft w:val="0"/>
      <w:marRight w:val="0"/>
      <w:marTop w:val="0"/>
      <w:marBottom w:val="0"/>
      <w:divBdr>
        <w:top w:val="none" w:sz="0" w:space="0" w:color="auto"/>
        <w:left w:val="none" w:sz="0" w:space="0" w:color="auto"/>
        <w:bottom w:val="none" w:sz="0" w:space="0" w:color="auto"/>
        <w:right w:val="none" w:sz="0" w:space="0" w:color="auto"/>
      </w:divBdr>
    </w:div>
    <w:div w:id="233662910">
      <w:bodyDiv w:val="1"/>
      <w:marLeft w:val="0"/>
      <w:marRight w:val="0"/>
      <w:marTop w:val="0"/>
      <w:marBottom w:val="0"/>
      <w:divBdr>
        <w:top w:val="none" w:sz="0" w:space="0" w:color="auto"/>
        <w:left w:val="none" w:sz="0" w:space="0" w:color="auto"/>
        <w:bottom w:val="none" w:sz="0" w:space="0" w:color="auto"/>
        <w:right w:val="none" w:sz="0" w:space="0" w:color="auto"/>
      </w:divBdr>
    </w:div>
    <w:div w:id="249655918">
      <w:bodyDiv w:val="1"/>
      <w:marLeft w:val="0"/>
      <w:marRight w:val="0"/>
      <w:marTop w:val="0"/>
      <w:marBottom w:val="0"/>
      <w:divBdr>
        <w:top w:val="none" w:sz="0" w:space="0" w:color="auto"/>
        <w:left w:val="none" w:sz="0" w:space="0" w:color="auto"/>
        <w:bottom w:val="none" w:sz="0" w:space="0" w:color="auto"/>
        <w:right w:val="none" w:sz="0" w:space="0" w:color="auto"/>
      </w:divBdr>
    </w:div>
    <w:div w:id="327829424">
      <w:bodyDiv w:val="1"/>
      <w:marLeft w:val="0"/>
      <w:marRight w:val="0"/>
      <w:marTop w:val="0"/>
      <w:marBottom w:val="0"/>
      <w:divBdr>
        <w:top w:val="none" w:sz="0" w:space="0" w:color="auto"/>
        <w:left w:val="none" w:sz="0" w:space="0" w:color="auto"/>
        <w:bottom w:val="none" w:sz="0" w:space="0" w:color="auto"/>
        <w:right w:val="none" w:sz="0" w:space="0" w:color="auto"/>
      </w:divBdr>
    </w:div>
    <w:div w:id="487404809">
      <w:bodyDiv w:val="1"/>
      <w:marLeft w:val="0"/>
      <w:marRight w:val="0"/>
      <w:marTop w:val="0"/>
      <w:marBottom w:val="0"/>
      <w:divBdr>
        <w:top w:val="none" w:sz="0" w:space="0" w:color="auto"/>
        <w:left w:val="none" w:sz="0" w:space="0" w:color="auto"/>
        <w:bottom w:val="none" w:sz="0" w:space="0" w:color="auto"/>
        <w:right w:val="none" w:sz="0" w:space="0" w:color="auto"/>
      </w:divBdr>
    </w:div>
    <w:div w:id="521436802">
      <w:bodyDiv w:val="1"/>
      <w:marLeft w:val="0"/>
      <w:marRight w:val="0"/>
      <w:marTop w:val="0"/>
      <w:marBottom w:val="0"/>
      <w:divBdr>
        <w:top w:val="none" w:sz="0" w:space="0" w:color="auto"/>
        <w:left w:val="none" w:sz="0" w:space="0" w:color="auto"/>
        <w:bottom w:val="none" w:sz="0" w:space="0" w:color="auto"/>
        <w:right w:val="none" w:sz="0" w:space="0" w:color="auto"/>
      </w:divBdr>
    </w:div>
    <w:div w:id="556085733">
      <w:bodyDiv w:val="1"/>
      <w:marLeft w:val="0"/>
      <w:marRight w:val="0"/>
      <w:marTop w:val="0"/>
      <w:marBottom w:val="0"/>
      <w:divBdr>
        <w:top w:val="none" w:sz="0" w:space="0" w:color="auto"/>
        <w:left w:val="none" w:sz="0" w:space="0" w:color="auto"/>
        <w:bottom w:val="none" w:sz="0" w:space="0" w:color="auto"/>
        <w:right w:val="none" w:sz="0" w:space="0" w:color="auto"/>
      </w:divBdr>
    </w:div>
    <w:div w:id="598559974">
      <w:bodyDiv w:val="1"/>
      <w:marLeft w:val="0"/>
      <w:marRight w:val="0"/>
      <w:marTop w:val="0"/>
      <w:marBottom w:val="0"/>
      <w:divBdr>
        <w:top w:val="none" w:sz="0" w:space="0" w:color="auto"/>
        <w:left w:val="none" w:sz="0" w:space="0" w:color="auto"/>
        <w:bottom w:val="none" w:sz="0" w:space="0" w:color="auto"/>
        <w:right w:val="none" w:sz="0" w:space="0" w:color="auto"/>
      </w:divBdr>
    </w:div>
    <w:div w:id="624965931">
      <w:bodyDiv w:val="1"/>
      <w:marLeft w:val="0"/>
      <w:marRight w:val="0"/>
      <w:marTop w:val="0"/>
      <w:marBottom w:val="0"/>
      <w:divBdr>
        <w:top w:val="none" w:sz="0" w:space="0" w:color="auto"/>
        <w:left w:val="none" w:sz="0" w:space="0" w:color="auto"/>
        <w:bottom w:val="none" w:sz="0" w:space="0" w:color="auto"/>
        <w:right w:val="none" w:sz="0" w:space="0" w:color="auto"/>
      </w:divBdr>
    </w:div>
    <w:div w:id="671102465">
      <w:bodyDiv w:val="1"/>
      <w:marLeft w:val="0"/>
      <w:marRight w:val="0"/>
      <w:marTop w:val="0"/>
      <w:marBottom w:val="0"/>
      <w:divBdr>
        <w:top w:val="none" w:sz="0" w:space="0" w:color="auto"/>
        <w:left w:val="none" w:sz="0" w:space="0" w:color="auto"/>
        <w:bottom w:val="none" w:sz="0" w:space="0" w:color="auto"/>
        <w:right w:val="none" w:sz="0" w:space="0" w:color="auto"/>
      </w:divBdr>
    </w:div>
    <w:div w:id="694576580">
      <w:bodyDiv w:val="1"/>
      <w:marLeft w:val="0"/>
      <w:marRight w:val="0"/>
      <w:marTop w:val="0"/>
      <w:marBottom w:val="0"/>
      <w:divBdr>
        <w:top w:val="none" w:sz="0" w:space="0" w:color="auto"/>
        <w:left w:val="none" w:sz="0" w:space="0" w:color="auto"/>
        <w:bottom w:val="none" w:sz="0" w:space="0" w:color="auto"/>
        <w:right w:val="none" w:sz="0" w:space="0" w:color="auto"/>
      </w:divBdr>
    </w:div>
    <w:div w:id="734279579">
      <w:bodyDiv w:val="1"/>
      <w:marLeft w:val="0"/>
      <w:marRight w:val="0"/>
      <w:marTop w:val="0"/>
      <w:marBottom w:val="0"/>
      <w:divBdr>
        <w:top w:val="none" w:sz="0" w:space="0" w:color="auto"/>
        <w:left w:val="none" w:sz="0" w:space="0" w:color="auto"/>
        <w:bottom w:val="none" w:sz="0" w:space="0" w:color="auto"/>
        <w:right w:val="none" w:sz="0" w:space="0" w:color="auto"/>
      </w:divBdr>
    </w:div>
    <w:div w:id="861169788">
      <w:bodyDiv w:val="1"/>
      <w:marLeft w:val="0"/>
      <w:marRight w:val="0"/>
      <w:marTop w:val="0"/>
      <w:marBottom w:val="0"/>
      <w:divBdr>
        <w:top w:val="none" w:sz="0" w:space="0" w:color="auto"/>
        <w:left w:val="none" w:sz="0" w:space="0" w:color="auto"/>
        <w:bottom w:val="none" w:sz="0" w:space="0" w:color="auto"/>
        <w:right w:val="none" w:sz="0" w:space="0" w:color="auto"/>
      </w:divBdr>
    </w:div>
    <w:div w:id="932935684">
      <w:bodyDiv w:val="1"/>
      <w:marLeft w:val="0"/>
      <w:marRight w:val="0"/>
      <w:marTop w:val="0"/>
      <w:marBottom w:val="0"/>
      <w:divBdr>
        <w:top w:val="none" w:sz="0" w:space="0" w:color="auto"/>
        <w:left w:val="none" w:sz="0" w:space="0" w:color="auto"/>
        <w:bottom w:val="none" w:sz="0" w:space="0" w:color="auto"/>
        <w:right w:val="none" w:sz="0" w:space="0" w:color="auto"/>
      </w:divBdr>
    </w:div>
    <w:div w:id="1092631066">
      <w:bodyDiv w:val="1"/>
      <w:marLeft w:val="0"/>
      <w:marRight w:val="0"/>
      <w:marTop w:val="0"/>
      <w:marBottom w:val="0"/>
      <w:divBdr>
        <w:top w:val="none" w:sz="0" w:space="0" w:color="auto"/>
        <w:left w:val="none" w:sz="0" w:space="0" w:color="auto"/>
        <w:bottom w:val="none" w:sz="0" w:space="0" w:color="auto"/>
        <w:right w:val="none" w:sz="0" w:space="0" w:color="auto"/>
      </w:divBdr>
    </w:div>
    <w:div w:id="1116368789">
      <w:bodyDiv w:val="1"/>
      <w:marLeft w:val="0"/>
      <w:marRight w:val="0"/>
      <w:marTop w:val="0"/>
      <w:marBottom w:val="0"/>
      <w:divBdr>
        <w:top w:val="none" w:sz="0" w:space="0" w:color="auto"/>
        <w:left w:val="none" w:sz="0" w:space="0" w:color="auto"/>
        <w:bottom w:val="none" w:sz="0" w:space="0" w:color="auto"/>
        <w:right w:val="none" w:sz="0" w:space="0" w:color="auto"/>
      </w:divBdr>
    </w:div>
    <w:div w:id="1240671186">
      <w:bodyDiv w:val="1"/>
      <w:marLeft w:val="0"/>
      <w:marRight w:val="0"/>
      <w:marTop w:val="0"/>
      <w:marBottom w:val="0"/>
      <w:divBdr>
        <w:top w:val="none" w:sz="0" w:space="0" w:color="auto"/>
        <w:left w:val="none" w:sz="0" w:space="0" w:color="auto"/>
        <w:bottom w:val="none" w:sz="0" w:space="0" w:color="auto"/>
        <w:right w:val="none" w:sz="0" w:space="0" w:color="auto"/>
      </w:divBdr>
    </w:div>
    <w:div w:id="1259097316">
      <w:bodyDiv w:val="1"/>
      <w:marLeft w:val="0"/>
      <w:marRight w:val="0"/>
      <w:marTop w:val="0"/>
      <w:marBottom w:val="0"/>
      <w:divBdr>
        <w:top w:val="none" w:sz="0" w:space="0" w:color="auto"/>
        <w:left w:val="none" w:sz="0" w:space="0" w:color="auto"/>
        <w:bottom w:val="none" w:sz="0" w:space="0" w:color="auto"/>
        <w:right w:val="none" w:sz="0" w:space="0" w:color="auto"/>
      </w:divBdr>
    </w:div>
    <w:div w:id="1276981606">
      <w:bodyDiv w:val="1"/>
      <w:marLeft w:val="0"/>
      <w:marRight w:val="0"/>
      <w:marTop w:val="0"/>
      <w:marBottom w:val="0"/>
      <w:divBdr>
        <w:top w:val="none" w:sz="0" w:space="0" w:color="auto"/>
        <w:left w:val="none" w:sz="0" w:space="0" w:color="auto"/>
        <w:bottom w:val="none" w:sz="0" w:space="0" w:color="auto"/>
        <w:right w:val="none" w:sz="0" w:space="0" w:color="auto"/>
      </w:divBdr>
    </w:div>
    <w:div w:id="1289780819">
      <w:bodyDiv w:val="1"/>
      <w:marLeft w:val="0"/>
      <w:marRight w:val="0"/>
      <w:marTop w:val="0"/>
      <w:marBottom w:val="0"/>
      <w:divBdr>
        <w:top w:val="none" w:sz="0" w:space="0" w:color="auto"/>
        <w:left w:val="none" w:sz="0" w:space="0" w:color="auto"/>
        <w:bottom w:val="none" w:sz="0" w:space="0" w:color="auto"/>
        <w:right w:val="none" w:sz="0" w:space="0" w:color="auto"/>
      </w:divBdr>
    </w:div>
    <w:div w:id="1305158922">
      <w:bodyDiv w:val="1"/>
      <w:marLeft w:val="0"/>
      <w:marRight w:val="0"/>
      <w:marTop w:val="0"/>
      <w:marBottom w:val="0"/>
      <w:divBdr>
        <w:top w:val="none" w:sz="0" w:space="0" w:color="auto"/>
        <w:left w:val="none" w:sz="0" w:space="0" w:color="auto"/>
        <w:bottom w:val="none" w:sz="0" w:space="0" w:color="auto"/>
        <w:right w:val="none" w:sz="0" w:space="0" w:color="auto"/>
      </w:divBdr>
    </w:div>
    <w:div w:id="1313486412">
      <w:bodyDiv w:val="1"/>
      <w:marLeft w:val="0"/>
      <w:marRight w:val="0"/>
      <w:marTop w:val="0"/>
      <w:marBottom w:val="0"/>
      <w:divBdr>
        <w:top w:val="none" w:sz="0" w:space="0" w:color="auto"/>
        <w:left w:val="none" w:sz="0" w:space="0" w:color="auto"/>
        <w:bottom w:val="none" w:sz="0" w:space="0" w:color="auto"/>
        <w:right w:val="none" w:sz="0" w:space="0" w:color="auto"/>
      </w:divBdr>
    </w:div>
    <w:div w:id="1416512522">
      <w:bodyDiv w:val="1"/>
      <w:marLeft w:val="0"/>
      <w:marRight w:val="0"/>
      <w:marTop w:val="0"/>
      <w:marBottom w:val="0"/>
      <w:divBdr>
        <w:top w:val="none" w:sz="0" w:space="0" w:color="auto"/>
        <w:left w:val="none" w:sz="0" w:space="0" w:color="auto"/>
        <w:bottom w:val="none" w:sz="0" w:space="0" w:color="auto"/>
        <w:right w:val="none" w:sz="0" w:space="0" w:color="auto"/>
      </w:divBdr>
    </w:div>
    <w:div w:id="1448116176">
      <w:bodyDiv w:val="1"/>
      <w:marLeft w:val="0"/>
      <w:marRight w:val="0"/>
      <w:marTop w:val="0"/>
      <w:marBottom w:val="0"/>
      <w:divBdr>
        <w:top w:val="none" w:sz="0" w:space="0" w:color="auto"/>
        <w:left w:val="none" w:sz="0" w:space="0" w:color="auto"/>
        <w:bottom w:val="none" w:sz="0" w:space="0" w:color="auto"/>
        <w:right w:val="none" w:sz="0" w:space="0" w:color="auto"/>
      </w:divBdr>
    </w:div>
    <w:div w:id="1530097906">
      <w:bodyDiv w:val="1"/>
      <w:marLeft w:val="0"/>
      <w:marRight w:val="0"/>
      <w:marTop w:val="0"/>
      <w:marBottom w:val="0"/>
      <w:divBdr>
        <w:top w:val="none" w:sz="0" w:space="0" w:color="auto"/>
        <w:left w:val="none" w:sz="0" w:space="0" w:color="auto"/>
        <w:bottom w:val="none" w:sz="0" w:space="0" w:color="auto"/>
        <w:right w:val="none" w:sz="0" w:space="0" w:color="auto"/>
      </w:divBdr>
    </w:div>
    <w:div w:id="1571648814">
      <w:bodyDiv w:val="1"/>
      <w:marLeft w:val="0"/>
      <w:marRight w:val="0"/>
      <w:marTop w:val="0"/>
      <w:marBottom w:val="0"/>
      <w:divBdr>
        <w:top w:val="none" w:sz="0" w:space="0" w:color="auto"/>
        <w:left w:val="none" w:sz="0" w:space="0" w:color="auto"/>
        <w:bottom w:val="none" w:sz="0" w:space="0" w:color="auto"/>
        <w:right w:val="none" w:sz="0" w:space="0" w:color="auto"/>
      </w:divBdr>
    </w:div>
    <w:div w:id="1575814593">
      <w:bodyDiv w:val="1"/>
      <w:marLeft w:val="0"/>
      <w:marRight w:val="0"/>
      <w:marTop w:val="0"/>
      <w:marBottom w:val="0"/>
      <w:divBdr>
        <w:top w:val="none" w:sz="0" w:space="0" w:color="auto"/>
        <w:left w:val="none" w:sz="0" w:space="0" w:color="auto"/>
        <w:bottom w:val="none" w:sz="0" w:space="0" w:color="auto"/>
        <w:right w:val="none" w:sz="0" w:space="0" w:color="auto"/>
      </w:divBdr>
    </w:div>
    <w:div w:id="1591616286">
      <w:bodyDiv w:val="1"/>
      <w:marLeft w:val="0"/>
      <w:marRight w:val="0"/>
      <w:marTop w:val="0"/>
      <w:marBottom w:val="0"/>
      <w:divBdr>
        <w:top w:val="none" w:sz="0" w:space="0" w:color="auto"/>
        <w:left w:val="none" w:sz="0" w:space="0" w:color="auto"/>
        <w:bottom w:val="none" w:sz="0" w:space="0" w:color="auto"/>
        <w:right w:val="none" w:sz="0" w:space="0" w:color="auto"/>
      </w:divBdr>
    </w:div>
    <w:div w:id="1618174570">
      <w:bodyDiv w:val="1"/>
      <w:marLeft w:val="0"/>
      <w:marRight w:val="0"/>
      <w:marTop w:val="0"/>
      <w:marBottom w:val="0"/>
      <w:divBdr>
        <w:top w:val="none" w:sz="0" w:space="0" w:color="auto"/>
        <w:left w:val="none" w:sz="0" w:space="0" w:color="auto"/>
        <w:bottom w:val="none" w:sz="0" w:space="0" w:color="auto"/>
        <w:right w:val="none" w:sz="0" w:space="0" w:color="auto"/>
      </w:divBdr>
    </w:div>
    <w:div w:id="1654412374">
      <w:bodyDiv w:val="1"/>
      <w:marLeft w:val="0"/>
      <w:marRight w:val="0"/>
      <w:marTop w:val="0"/>
      <w:marBottom w:val="0"/>
      <w:divBdr>
        <w:top w:val="none" w:sz="0" w:space="0" w:color="auto"/>
        <w:left w:val="none" w:sz="0" w:space="0" w:color="auto"/>
        <w:bottom w:val="none" w:sz="0" w:space="0" w:color="auto"/>
        <w:right w:val="none" w:sz="0" w:space="0" w:color="auto"/>
      </w:divBdr>
    </w:div>
    <w:div w:id="1695305999">
      <w:bodyDiv w:val="1"/>
      <w:marLeft w:val="0"/>
      <w:marRight w:val="0"/>
      <w:marTop w:val="0"/>
      <w:marBottom w:val="0"/>
      <w:divBdr>
        <w:top w:val="none" w:sz="0" w:space="0" w:color="auto"/>
        <w:left w:val="none" w:sz="0" w:space="0" w:color="auto"/>
        <w:bottom w:val="none" w:sz="0" w:space="0" w:color="auto"/>
        <w:right w:val="none" w:sz="0" w:space="0" w:color="auto"/>
      </w:divBdr>
    </w:div>
    <w:div w:id="1727532099">
      <w:bodyDiv w:val="1"/>
      <w:marLeft w:val="0"/>
      <w:marRight w:val="0"/>
      <w:marTop w:val="0"/>
      <w:marBottom w:val="0"/>
      <w:divBdr>
        <w:top w:val="none" w:sz="0" w:space="0" w:color="auto"/>
        <w:left w:val="none" w:sz="0" w:space="0" w:color="auto"/>
        <w:bottom w:val="none" w:sz="0" w:space="0" w:color="auto"/>
        <w:right w:val="none" w:sz="0" w:space="0" w:color="auto"/>
      </w:divBdr>
    </w:div>
    <w:div w:id="1735808315">
      <w:bodyDiv w:val="1"/>
      <w:marLeft w:val="0"/>
      <w:marRight w:val="0"/>
      <w:marTop w:val="0"/>
      <w:marBottom w:val="0"/>
      <w:divBdr>
        <w:top w:val="none" w:sz="0" w:space="0" w:color="auto"/>
        <w:left w:val="none" w:sz="0" w:space="0" w:color="auto"/>
        <w:bottom w:val="none" w:sz="0" w:space="0" w:color="auto"/>
        <w:right w:val="none" w:sz="0" w:space="0" w:color="auto"/>
      </w:divBdr>
    </w:div>
    <w:div w:id="1819108866">
      <w:bodyDiv w:val="1"/>
      <w:marLeft w:val="0"/>
      <w:marRight w:val="0"/>
      <w:marTop w:val="0"/>
      <w:marBottom w:val="0"/>
      <w:divBdr>
        <w:top w:val="none" w:sz="0" w:space="0" w:color="auto"/>
        <w:left w:val="none" w:sz="0" w:space="0" w:color="auto"/>
        <w:bottom w:val="none" w:sz="0" w:space="0" w:color="auto"/>
        <w:right w:val="none" w:sz="0" w:space="0" w:color="auto"/>
      </w:divBdr>
    </w:div>
    <w:div w:id="1863281068">
      <w:bodyDiv w:val="1"/>
      <w:marLeft w:val="0"/>
      <w:marRight w:val="0"/>
      <w:marTop w:val="0"/>
      <w:marBottom w:val="0"/>
      <w:divBdr>
        <w:top w:val="none" w:sz="0" w:space="0" w:color="auto"/>
        <w:left w:val="none" w:sz="0" w:space="0" w:color="auto"/>
        <w:bottom w:val="none" w:sz="0" w:space="0" w:color="auto"/>
        <w:right w:val="none" w:sz="0" w:space="0" w:color="auto"/>
      </w:divBdr>
    </w:div>
    <w:div w:id="1869680478">
      <w:bodyDiv w:val="1"/>
      <w:marLeft w:val="0"/>
      <w:marRight w:val="0"/>
      <w:marTop w:val="0"/>
      <w:marBottom w:val="0"/>
      <w:divBdr>
        <w:top w:val="none" w:sz="0" w:space="0" w:color="auto"/>
        <w:left w:val="none" w:sz="0" w:space="0" w:color="auto"/>
        <w:bottom w:val="none" w:sz="0" w:space="0" w:color="auto"/>
        <w:right w:val="none" w:sz="0" w:space="0" w:color="auto"/>
      </w:divBdr>
    </w:div>
    <w:div w:id="1909923650">
      <w:bodyDiv w:val="1"/>
      <w:marLeft w:val="0"/>
      <w:marRight w:val="0"/>
      <w:marTop w:val="0"/>
      <w:marBottom w:val="0"/>
      <w:divBdr>
        <w:top w:val="none" w:sz="0" w:space="0" w:color="auto"/>
        <w:left w:val="none" w:sz="0" w:space="0" w:color="auto"/>
        <w:bottom w:val="none" w:sz="0" w:space="0" w:color="auto"/>
        <w:right w:val="none" w:sz="0" w:space="0" w:color="auto"/>
      </w:divBdr>
    </w:div>
    <w:div w:id="1938362574">
      <w:bodyDiv w:val="1"/>
      <w:marLeft w:val="0"/>
      <w:marRight w:val="0"/>
      <w:marTop w:val="0"/>
      <w:marBottom w:val="0"/>
      <w:divBdr>
        <w:top w:val="none" w:sz="0" w:space="0" w:color="auto"/>
        <w:left w:val="none" w:sz="0" w:space="0" w:color="auto"/>
        <w:bottom w:val="none" w:sz="0" w:space="0" w:color="auto"/>
        <w:right w:val="none" w:sz="0" w:space="0" w:color="auto"/>
      </w:divBdr>
    </w:div>
    <w:div w:id="2057464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forniaUC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ba.gov" TargetMode="External"/><Relationship Id="rId4" Type="http://schemas.openxmlformats.org/officeDocument/2006/relationships/settings" Target="settings.xml"/><Relationship Id="rId9" Type="http://schemas.openxmlformats.org/officeDocument/2006/relationships/hyperlink" Target="http://www.dot.ca.gov/hq/esc/o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557A-B56A-424A-BFAC-2E734550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11</Pages>
  <Words>2364</Words>
  <Characters>14991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GCAP Services</Company>
  <LinksUpToDate>false</LinksUpToDate>
  <CharactersWithSpaces>17321</CharactersWithSpaces>
  <SharedDoc>false</SharedDoc>
  <HLinks>
    <vt:vector size="6" baseType="variant">
      <vt:variant>
        <vt:i4>2228324</vt:i4>
      </vt:variant>
      <vt:variant>
        <vt:i4>0</vt:i4>
      </vt:variant>
      <vt:variant>
        <vt:i4>0</vt:i4>
      </vt:variant>
      <vt:variant>
        <vt:i4>5</vt:i4>
      </vt:variant>
      <vt:variant>
        <vt:lpwstr>http://www.californiaucp.com/index.html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drusas</dc:creator>
  <cp:lastModifiedBy>Christine Plasting</cp:lastModifiedBy>
  <cp:revision>36</cp:revision>
  <cp:lastPrinted>2021-04-22T15:58:00Z</cp:lastPrinted>
  <dcterms:created xsi:type="dcterms:W3CDTF">2021-02-24T16:21:00Z</dcterms:created>
  <dcterms:modified xsi:type="dcterms:W3CDTF">2021-04-22T16:17:00Z</dcterms:modified>
</cp:coreProperties>
</file>